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C08B6" w14:textId="78E6E62D" w:rsidR="00372AF8" w:rsidRPr="00230F27" w:rsidRDefault="00230F27" w:rsidP="00230F27">
      <w:pPr>
        <w:jc w:val="center"/>
        <w:rPr>
          <w:rFonts w:ascii="Arial" w:hAnsi="Arial" w:cs="Arial"/>
        </w:rPr>
      </w:pPr>
      <w:r w:rsidRPr="00230F27">
        <w:rPr>
          <w:rFonts w:ascii="Arial" w:hAnsi="Arial" w:cs="Arial"/>
          <w:noProof/>
        </w:rPr>
        <w:drawing>
          <wp:inline distT="0" distB="0" distL="0" distR="0" wp14:anchorId="4D193F83" wp14:editId="0245DCAB">
            <wp:extent cx="3383800" cy="731520"/>
            <wp:effectExtent l="0" t="0" r="7620" b="0"/>
            <wp:docPr id="338219823"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19823" name="Picture 1" descr="A green and white logo&#10;&#10;Description automatically generated"/>
                    <pic:cNvPicPr/>
                  </pic:nvPicPr>
                  <pic:blipFill>
                    <a:blip r:embed="rId11" cstate="print">
                      <a:alphaModFix amt="50000"/>
                      <a:extLst>
                        <a:ext uri="{28A0092B-C50C-407E-A947-70E740481C1C}">
                          <a14:useLocalDpi xmlns:a14="http://schemas.microsoft.com/office/drawing/2010/main" val="0"/>
                        </a:ext>
                      </a:extLst>
                    </a:blip>
                    <a:stretch>
                      <a:fillRect/>
                    </a:stretch>
                  </pic:blipFill>
                  <pic:spPr>
                    <a:xfrm>
                      <a:off x="0" y="0"/>
                      <a:ext cx="3433288" cy="742218"/>
                    </a:xfrm>
                    <a:prstGeom prst="rect">
                      <a:avLst/>
                    </a:prstGeom>
                  </pic:spPr>
                </pic:pic>
              </a:graphicData>
            </a:graphic>
          </wp:inline>
        </w:drawing>
      </w:r>
    </w:p>
    <w:p w14:paraId="34EC43FF" w14:textId="77777777" w:rsidR="00230F27" w:rsidRDefault="00230F27" w:rsidP="00230F27">
      <w:pPr>
        <w:jc w:val="center"/>
        <w:rPr>
          <w:rFonts w:ascii="Arial" w:hAnsi="Arial" w:cs="Arial"/>
        </w:rPr>
      </w:pPr>
    </w:p>
    <w:p w14:paraId="3C65C06E" w14:textId="77777777" w:rsidR="00963885" w:rsidRDefault="00963885" w:rsidP="00230F27">
      <w:pPr>
        <w:jc w:val="center"/>
        <w:rPr>
          <w:rFonts w:ascii="Arial" w:hAnsi="Arial" w:cs="Arial"/>
        </w:rPr>
      </w:pPr>
    </w:p>
    <w:p w14:paraId="5824487E" w14:textId="77777777" w:rsidR="00963885" w:rsidRDefault="00963885" w:rsidP="00230F27">
      <w:pPr>
        <w:jc w:val="center"/>
        <w:rPr>
          <w:rFonts w:ascii="Arial" w:hAnsi="Arial" w:cs="Arial"/>
        </w:rPr>
      </w:pPr>
    </w:p>
    <w:p w14:paraId="62D23B88" w14:textId="77777777" w:rsidR="00963885" w:rsidRPr="00230F27" w:rsidRDefault="00963885" w:rsidP="00230F27">
      <w:pPr>
        <w:jc w:val="center"/>
        <w:rPr>
          <w:rFonts w:ascii="Arial" w:hAnsi="Arial" w:cs="Arial"/>
        </w:rPr>
      </w:pPr>
    </w:p>
    <w:p w14:paraId="6E91C200" w14:textId="0871FFAD" w:rsidR="00230F27" w:rsidRPr="00CC6647" w:rsidRDefault="00D26F04" w:rsidP="00D75528">
      <w:pPr>
        <w:pStyle w:val="Title"/>
        <w:rPr>
          <w:rFonts w:ascii="Arial" w:hAnsi="Arial" w:cs="Arial"/>
          <w:color w:val="auto"/>
        </w:rPr>
      </w:pPr>
      <w:r w:rsidRPr="00CC6647">
        <w:rPr>
          <w:rFonts w:ascii="Arial" w:hAnsi="Arial" w:cs="Arial"/>
          <w:caps w:val="0"/>
          <w:color w:val="auto"/>
          <w:sz w:val="56"/>
          <w:szCs w:val="56"/>
        </w:rPr>
        <w:t>Maintained Secondary Schools and Academies</w:t>
      </w:r>
      <w:r w:rsidR="00C12F72" w:rsidRPr="00CC6647">
        <w:rPr>
          <w:rFonts w:ascii="Arial" w:hAnsi="Arial" w:cs="Arial"/>
          <w:caps w:val="0"/>
          <w:color w:val="auto"/>
          <w:sz w:val="56"/>
          <w:szCs w:val="56"/>
        </w:rPr>
        <w:br/>
      </w:r>
      <w:r w:rsidRPr="00CC6647">
        <w:rPr>
          <w:rFonts w:ascii="Arial" w:hAnsi="Arial" w:cs="Arial"/>
          <w:caps w:val="0"/>
          <w:color w:val="auto"/>
          <w:sz w:val="56"/>
          <w:szCs w:val="56"/>
        </w:rPr>
        <w:t>Fair Access Protocol</w:t>
      </w:r>
    </w:p>
    <w:p w14:paraId="25A2E05B" w14:textId="3184CFC1" w:rsidR="00230F27" w:rsidRPr="00CC6647" w:rsidRDefault="00230F27" w:rsidP="00D75528">
      <w:pPr>
        <w:pStyle w:val="Title"/>
        <w:rPr>
          <w:rFonts w:ascii="Arial" w:hAnsi="Arial" w:cs="Arial"/>
          <w:color w:val="auto"/>
          <w:sz w:val="44"/>
          <w:szCs w:val="44"/>
        </w:rPr>
      </w:pPr>
      <w:r w:rsidRPr="00CC6647">
        <w:rPr>
          <w:rFonts w:ascii="Arial" w:hAnsi="Arial" w:cs="Arial"/>
          <w:color w:val="auto"/>
          <w:sz w:val="44"/>
          <w:szCs w:val="44"/>
        </w:rPr>
        <w:t>2024 – 2025</w:t>
      </w:r>
    </w:p>
    <w:p w14:paraId="112FD6AE" w14:textId="77777777" w:rsidR="00230F27" w:rsidRPr="00230F27" w:rsidRDefault="00230F27" w:rsidP="00230F27">
      <w:pPr>
        <w:rPr>
          <w:rFonts w:ascii="Arial" w:hAnsi="Arial" w:cs="Arial"/>
        </w:rPr>
      </w:pPr>
    </w:p>
    <w:sdt>
      <w:sdtPr>
        <w:rPr>
          <w:rFonts w:ascii="Arial" w:eastAsiaTheme="minorHAnsi" w:hAnsi="Arial" w:cs="Arial"/>
          <w:color w:val="auto"/>
          <w:kern w:val="2"/>
          <w:sz w:val="22"/>
          <w:szCs w:val="22"/>
          <w14:ligatures w14:val="standardContextual"/>
        </w:rPr>
        <w:id w:val="-193003544"/>
        <w:docPartObj>
          <w:docPartGallery w:val="Table of Contents"/>
          <w:docPartUnique/>
        </w:docPartObj>
      </w:sdtPr>
      <w:sdtEndPr>
        <w:rPr>
          <w:rFonts w:eastAsiaTheme="minorEastAsia"/>
          <w:b/>
          <w:bCs/>
          <w:kern w:val="0"/>
          <w14:ligatures w14:val="none"/>
        </w:rPr>
      </w:sdtEndPr>
      <w:sdtContent>
        <w:p w14:paraId="1FD42E88" w14:textId="7D59D4A6" w:rsidR="00230F27" w:rsidRPr="00E72CFA" w:rsidRDefault="00230F27">
          <w:pPr>
            <w:pStyle w:val="TOCHeading"/>
            <w:rPr>
              <w:rFonts w:ascii="Arial" w:hAnsi="Arial" w:cs="Arial"/>
            </w:rPr>
          </w:pPr>
          <w:r w:rsidRPr="00E72CFA">
            <w:rPr>
              <w:rFonts w:ascii="Arial" w:hAnsi="Arial" w:cs="Arial"/>
            </w:rPr>
            <w:t>Contents</w:t>
          </w:r>
        </w:p>
        <w:p w14:paraId="6880A135" w14:textId="3D5C9B95" w:rsidR="00E72CFA" w:rsidRDefault="00230F27">
          <w:pPr>
            <w:pStyle w:val="TOC2"/>
            <w:tabs>
              <w:tab w:val="left" w:pos="720"/>
              <w:tab w:val="right" w:leader="dot" w:pos="9016"/>
            </w:tabs>
            <w:rPr>
              <w:noProof/>
              <w:kern w:val="2"/>
              <w:sz w:val="24"/>
              <w:szCs w:val="24"/>
              <w:lang w:eastAsia="en-GB"/>
              <w14:ligatures w14:val="standardContextual"/>
            </w:rPr>
          </w:pPr>
          <w:r w:rsidRPr="00E72CFA">
            <w:rPr>
              <w:rFonts w:ascii="Arial" w:hAnsi="Arial" w:cs="Arial"/>
            </w:rPr>
            <w:fldChar w:fldCharType="begin"/>
          </w:r>
          <w:r w:rsidRPr="00E72CFA">
            <w:rPr>
              <w:rFonts w:ascii="Arial" w:hAnsi="Arial" w:cs="Arial"/>
            </w:rPr>
            <w:instrText xml:space="preserve"> TOC \o "1-3" \h \z \u </w:instrText>
          </w:r>
          <w:r w:rsidRPr="00E72CFA">
            <w:rPr>
              <w:rFonts w:ascii="Arial" w:hAnsi="Arial" w:cs="Arial"/>
            </w:rPr>
            <w:fldChar w:fldCharType="separate"/>
          </w:r>
          <w:hyperlink w:anchor="_Toc177374666" w:history="1">
            <w:r w:rsidR="00E72CFA" w:rsidRPr="00B81B07">
              <w:rPr>
                <w:rStyle w:val="Hyperlink"/>
                <w:rFonts w:ascii="Arial" w:hAnsi="Arial" w:cs="Arial"/>
                <w:noProof/>
              </w:rPr>
              <w:t>1.</w:t>
            </w:r>
            <w:r w:rsidR="00E72CFA">
              <w:rPr>
                <w:noProof/>
                <w:kern w:val="2"/>
                <w:sz w:val="24"/>
                <w:szCs w:val="24"/>
                <w:lang w:eastAsia="en-GB"/>
                <w14:ligatures w14:val="standardContextual"/>
              </w:rPr>
              <w:tab/>
            </w:r>
            <w:r w:rsidR="00E72CFA" w:rsidRPr="00B81B07">
              <w:rPr>
                <w:rStyle w:val="Hyperlink"/>
                <w:rFonts w:ascii="Arial" w:hAnsi="Arial" w:cs="Arial"/>
                <w:noProof/>
              </w:rPr>
              <w:t>Main Principles</w:t>
            </w:r>
            <w:r w:rsidR="00E72CFA">
              <w:rPr>
                <w:noProof/>
                <w:webHidden/>
              </w:rPr>
              <w:tab/>
            </w:r>
            <w:r w:rsidR="00E72CFA">
              <w:rPr>
                <w:noProof/>
                <w:webHidden/>
              </w:rPr>
              <w:fldChar w:fldCharType="begin"/>
            </w:r>
            <w:r w:rsidR="00E72CFA">
              <w:rPr>
                <w:noProof/>
                <w:webHidden/>
              </w:rPr>
              <w:instrText xml:space="preserve"> PAGEREF _Toc177374666 \h </w:instrText>
            </w:r>
            <w:r w:rsidR="00E72CFA">
              <w:rPr>
                <w:noProof/>
                <w:webHidden/>
              </w:rPr>
            </w:r>
            <w:r w:rsidR="00E72CFA">
              <w:rPr>
                <w:noProof/>
                <w:webHidden/>
              </w:rPr>
              <w:fldChar w:fldCharType="separate"/>
            </w:r>
            <w:r w:rsidR="00E72CFA">
              <w:rPr>
                <w:noProof/>
                <w:webHidden/>
              </w:rPr>
              <w:t>2</w:t>
            </w:r>
            <w:r w:rsidR="00E72CFA">
              <w:rPr>
                <w:noProof/>
                <w:webHidden/>
              </w:rPr>
              <w:fldChar w:fldCharType="end"/>
            </w:r>
          </w:hyperlink>
        </w:p>
        <w:p w14:paraId="29B554FB" w14:textId="727B27A0" w:rsidR="00E72CFA" w:rsidRDefault="009F0786">
          <w:pPr>
            <w:pStyle w:val="TOC2"/>
            <w:tabs>
              <w:tab w:val="left" w:pos="720"/>
              <w:tab w:val="right" w:leader="dot" w:pos="9016"/>
            </w:tabs>
            <w:rPr>
              <w:noProof/>
              <w:kern w:val="2"/>
              <w:sz w:val="24"/>
              <w:szCs w:val="24"/>
              <w:lang w:eastAsia="en-GB"/>
              <w14:ligatures w14:val="standardContextual"/>
            </w:rPr>
          </w:pPr>
          <w:hyperlink w:anchor="_Toc177374667" w:history="1">
            <w:r w:rsidR="00E72CFA" w:rsidRPr="00B81B07">
              <w:rPr>
                <w:rStyle w:val="Hyperlink"/>
                <w:rFonts w:ascii="Arial" w:hAnsi="Arial" w:cs="Arial"/>
                <w:noProof/>
              </w:rPr>
              <w:t>2.</w:t>
            </w:r>
            <w:r w:rsidR="00E72CFA">
              <w:rPr>
                <w:noProof/>
                <w:kern w:val="2"/>
                <w:sz w:val="24"/>
                <w:szCs w:val="24"/>
                <w:lang w:eastAsia="en-GB"/>
                <w14:ligatures w14:val="standardContextual"/>
              </w:rPr>
              <w:tab/>
            </w:r>
            <w:r w:rsidR="00E72CFA" w:rsidRPr="00B81B07">
              <w:rPr>
                <w:rStyle w:val="Hyperlink"/>
                <w:rFonts w:ascii="Arial" w:hAnsi="Arial" w:cs="Arial"/>
                <w:noProof/>
              </w:rPr>
              <w:t>Referral to the Fair Access Protocol (FAP)</w:t>
            </w:r>
            <w:r w:rsidR="00E72CFA">
              <w:rPr>
                <w:noProof/>
                <w:webHidden/>
              </w:rPr>
              <w:tab/>
            </w:r>
            <w:r w:rsidR="00E72CFA">
              <w:rPr>
                <w:noProof/>
                <w:webHidden/>
              </w:rPr>
              <w:fldChar w:fldCharType="begin"/>
            </w:r>
            <w:r w:rsidR="00E72CFA">
              <w:rPr>
                <w:noProof/>
                <w:webHidden/>
              </w:rPr>
              <w:instrText xml:space="preserve"> PAGEREF _Toc177374667 \h </w:instrText>
            </w:r>
            <w:r w:rsidR="00E72CFA">
              <w:rPr>
                <w:noProof/>
                <w:webHidden/>
              </w:rPr>
            </w:r>
            <w:r w:rsidR="00E72CFA">
              <w:rPr>
                <w:noProof/>
                <w:webHidden/>
              </w:rPr>
              <w:fldChar w:fldCharType="separate"/>
            </w:r>
            <w:r w:rsidR="00E72CFA">
              <w:rPr>
                <w:noProof/>
                <w:webHidden/>
              </w:rPr>
              <w:t>2</w:t>
            </w:r>
            <w:r w:rsidR="00E72CFA">
              <w:rPr>
                <w:noProof/>
                <w:webHidden/>
              </w:rPr>
              <w:fldChar w:fldCharType="end"/>
            </w:r>
          </w:hyperlink>
        </w:p>
        <w:p w14:paraId="2C89FC26" w14:textId="1692AEC2" w:rsidR="00E72CFA" w:rsidRDefault="009F0786">
          <w:pPr>
            <w:pStyle w:val="TOC2"/>
            <w:tabs>
              <w:tab w:val="left" w:pos="720"/>
              <w:tab w:val="right" w:leader="dot" w:pos="9016"/>
            </w:tabs>
            <w:rPr>
              <w:noProof/>
              <w:kern w:val="2"/>
              <w:sz w:val="24"/>
              <w:szCs w:val="24"/>
              <w:lang w:eastAsia="en-GB"/>
              <w14:ligatures w14:val="standardContextual"/>
            </w:rPr>
          </w:pPr>
          <w:hyperlink w:anchor="_Toc177374668" w:history="1">
            <w:r w:rsidR="00E72CFA" w:rsidRPr="00B81B07">
              <w:rPr>
                <w:rStyle w:val="Hyperlink"/>
                <w:rFonts w:ascii="Arial" w:hAnsi="Arial" w:cs="Arial"/>
                <w:noProof/>
              </w:rPr>
              <w:t>3.</w:t>
            </w:r>
            <w:r w:rsidR="00E72CFA">
              <w:rPr>
                <w:noProof/>
                <w:kern w:val="2"/>
                <w:sz w:val="24"/>
                <w:szCs w:val="24"/>
                <w:lang w:eastAsia="en-GB"/>
                <w14:ligatures w14:val="standardContextual"/>
              </w:rPr>
              <w:tab/>
            </w:r>
            <w:r w:rsidR="00E72CFA" w:rsidRPr="00B81B07">
              <w:rPr>
                <w:rStyle w:val="Hyperlink"/>
                <w:rFonts w:ascii="Arial" w:hAnsi="Arial" w:cs="Arial"/>
                <w:noProof/>
              </w:rPr>
              <w:t>IFAP</w:t>
            </w:r>
            <w:r w:rsidR="00E72CFA">
              <w:rPr>
                <w:noProof/>
                <w:webHidden/>
              </w:rPr>
              <w:tab/>
            </w:r>
            <w:r w:rsidR="00E72CFA">
              <w:rPr>
                <w:noProof/>
                <w:webHidden/>
              </w:rPr>
              <w:fldChar w:fldCharType="begin"/>
            </w:r>
            <w:r w:rsidR="00E72CFA">
              <w:rPr>
                <w:noProof/>
                <w:webHidden/>
              </w:rPr>
              <w:instrText xml:space="preserve"> PAGEREF _Toc177374668 \h </w:instrText>
            </w:r>
            <w:r w:rsidR="00E72CFA">
              <w:rPr>
                <w:noProof/>
                <w:webHidden/>
              </w:rPr>
            </w:r>
            <w:r w:rsidR="00E72CFA">
              <w:rPr>
                <w:noProof/>
                <w:webHidden/>
              </w:rPr>
              <w:fldChar w:fldCharType="separate"/>
            </w:r>
            <w:r w:rsidR="00E72CFA">
              <w:rPr>
                <w:noProof/>
                <w:webHidden/>
              </w:rPr>
              <w:t>4</w:t>
            </w:r>
            <w:r w:rsidR="00E72CFA">
              <w:rPr>
                <w:noProof/>
                <w:webHidden/>
              </w:rPr>
              <w:fldChar w:fldCharType="end"/>
            </w:r>
          </w:hyperlink>
        </w:p>
        <w:p w14:paraId="449B04E9" w14:textId="01F4A9D2" w:rsidR="00E72CFA" w:rsidRDefault="009F0786">
          <w:pPr>
            <w:pStyle w:val="TOC2"/>
            <w:tabs>
              <w:tab w:val="left" w:pos="720"/>
              <w:tab w:val="right" w:leader="dot" w:pos="9016"/>
            </w:tabs>
            <w:rPr>
              <w:noProof/>
              <w:kern w:val="2"/>
              <w:sz w:val="24"/>
              <w:szCs w:val="24"/>
              <w:lang w:eastAsia="en-GB"/>
              <w14:ligatures w14:val="standardContextual"/>
            </w:rPr>
          </w:pPr>
          <w:hyperlink w:anchor="_Toc177374669" w:history="1">
            <w:r w:rsidR="00E72CFA" w:rsidRPr="00B81B07">
              <w:rPr>
                <w:rStyle w:val="Hyperlink"/>
                <w:rFonts w:ascii="Arial" w:hAnsi="Arial" w:cs="Arial"/>
                <w:noProof/>
              </w:rPr>
              <w:t>4.</w:t>
            </w:r>
            <w:r w:rsidR="00E72CFA">
              <w:rPr>
                <w:noProof/>
                <w:kern w:val="2"/>
                <w:sz w:val="24"/>
                <w:szCs w:val="24"/>
                <w:lang w:eastAsia="en-GB"/>
                <w14:ligatures w14:val="standardContextual"/>
              </w:rPr>
              <w:tab/>
            </w:r>
            <w:r w:rsidR="00E72CFA" w:rsidRPr="00B81B07">
              <w:rPr>
                <w:rStyle w:val="Hyperlink"/>
                <w:rFonts w:ascii="Arial" w:hAnsi="Arial" w:cs="Arial"/>
                <w:noProof/>
              </w:rPr>
              <w:t>Reintegration of pupils from the Tameside Pupil Referral Service (TPRS)</w:t>
            </w:r>
            <w:r w:rsidR="00E72CFA">
              <w:rPr>
                <w:noProof/>
                <w:webHidden/>
              </w:rPr>
              <w:tab/>
            </w:r>
            <w:r w:rsidR="00E72CFA">
              <w:rPr>
                <w:noProof/>
                <w:webHidden/>
              </w:rPr>
              <w:fldChar w:fldCharType="begin"/>
            </w:r>
            <w:r w:rsidR="00E72CFA">
              <w:rPr>
                <w:noProof/>
                <w:webHidden/>
              </w:rPr>
              <w:instrText xml:space="preserve"> PAGEREF _Toc177374669 \h </w:instrText>
            </w:r>
            <w:r w:rsidR="00E72CFA">
              <w:rPr>
                <w:noProof/>
                <w:webHidden/>
              </w:rPr>
            </w:r>
            <w:r w:rsidR="00E72CFA">
              <w:rPr>
                <w:noProof/>
                <w:webHidden/>
              </w:rPr>
              <w:fldChar w:fldCharType="separate"/>
            </w:r>
            <w:r w:rsidR="00E72CFA">
              <w:rPr>
                <w:noProof/>
                <w:webHidden/>
              </w:rPr>
              <w:t>5</w:t>
            </w:r>
            <w:r w:rsidR="00E72CFA">
              <w:rPr>
                <w:noProof/>
                <w:webHidden/>
              </w:rPr>
              <w:fldChar w:fldCharType="end"/>
            </w:r>
          </w:hyperlink>
        </w:p>
        <w:p w14:paraId="0A1846F3" w14:textId="6911DC84" w:rsidR="00E72CFA" w:rsidRDefault="009F0786">
          <w:pPr>
            <w:pStyle w:val="TOC2"/>
            <w:tabs>
              <w:tab w:val="left" w:pos="720"/>
              <w:tab w:val="right" w:leader="dot" w:pos="9016"/>
            </w:tabs>
            <w:rPr>
              <w:noProof/>
              <w:kern w:val="2"/>
              <w:sz w:val="24"/>
              <w:szCs w:val="24"/>
              <w:lang w:eastAsia="en-GB"/>
              <w14:ligatures w14:val="standardContextual"/>
            </w:rPr>
          </w:pPr>
          <w:hyperlink w:anchor="_Toc177374670" w:history="1">
            <w:r w:rsidR="00E72CFA" w:rsidRPr="00B81B07">
              <w:rPr>
                <w:rStyle w:val="Hyperlink"/>
                <w:rFonts w:ascii="Arial" w:hAnsi="Arial" w:cs="Arial"/>
                <w:noProof/>
              </w:rPr>
              <w:t>5.</w:t>
            </w:r>
            <w:r w:rsidR="00E72CFA">
              <w:rPr>
                <w:noProof/>
                <w:kern w:val="2"/>
                <w:sz w:val="24"/>
                <w:szCs w:val="24"/>
                <w:lang w:eastAsia="en-GB"/>
                <w14:ligatures w14:val="standardContextual"/>
              </w:rPr>
              <w:tab/>
            </w:r>
            <w:r w:rsidR="00E72CFA" w:rsidRPr="00B81B07">
              <w:rPr>
                <w:rStyle w:val="Hyperlink"/>
                <w:rFonts w:ascii="Arial" w:hAnsi="Arial" w:cs="Arial"/>
                <w:noProof/>
              </w:rPr>
              <w:t>Local Authority Direction</w:t>
            </w:r>
            <w:r w:rsidR="00E72CFA">
              <w:rPr>
                <w:noProof/>
                <w:webHidden/>
              </w:rPr>
              <w:tab/>
            </w:r>
            <w:r w:rsidR="00E72CFA">
              <w:rPr>
                <w:noProof/>
                <w:webHidden/>
              </w:rPr>
              <w:fldChar w:fldCharType="begin"/>
            </w:r>
            <w:r w:rsidR="00E72CFA">
              <w:rPr>
                <w:noProof/>
                <w:webHidden/>
              </w:rPr>
              <w:instrText xml:space="preserve"> PAGEREF _Toc177374670 \h </w:instrText>
            </w:r>
            <w:r w:rsidR="00E72CFA">
              <w:rPr>
                <w:noProof/>
                <w:webHidden/>
              </w:rPr>
            </w:r>
            <w:r w:rsidR="00E72CFA">
              <w:rPr>
                <w:noProof/>
                <w:webHidden/>
              </w:rPr>
              <w:fldChar w:fldCharType="separate"/>
            </w:r>
            <w:r w:rsidR="00E72CFA">
              <w:rPr>
                <w:noProof/>
                <w:webHidden/>
              </w:rPr>
              <w:t>6</w:t>
            </w:r>
            <w:r w:rsidR="00E72CFA">
              <w:rPr>
                <w:noProof/>
                <w:webHidden/>
              </w:rPr>
              <w:fldChar w:fldCharType="end"/>
            </w:r>
          </w:hyperlink>
        </w:p>
        <w:p w14:paraId="606685C2" w14:textId="4781A45E" w:rsidR="00E72CFA" w:rsidRDefault="009F0786">
          <w:pPr>
            <w:pStyle w:val="TOC2"/>
            <w:tabs>
              <w:tab w:val="left" w:pos="720"/>
              <w:tab w:val="right" w:leader="dot" w:pos="9016"/>
            </w:tabs>
            <w:rPr>
              <w:noProof/>
              <w:kern w:val="2"/>
              <w:sz w:val="24"/>
              <w:szCs w:val="24"/>
              <w:lang w:eastAsia="en-GB"/>
              <w14:ligatures w14:val="standardContextual"/>
            </w:rPr>
          </w:pPr>
          <w:hyperlink w:anchor="_Toc177374671" w:history="1">
            <w:r w:rsidR="00E72CFA" w:rsidRPr="00B81B07">
              <w:rPr>
                <w:rStyle w:val="Hyperlink"/>
                <w:rFonts w:ascii="Arial" w:hAnsi="Arial" w:cs="Arial"/>
                <w:noProof/>
              </w:rPr>
              <w:t>6.</w:t>
            </w:r>
            <w:r w:rsidR="00E72CFA">
              <w:rPr>
                <w:noProof/>
                <w:kern w:val="2"/>
                <w:sz w:val="24"/>
                <w:szCs w:val="24"/>
                <w:lang w:eastAsia="en-GB"/>
                <w14:ligatures w14:val="standardContextual"/>
              </w:rPr>
              <w:tab/>
            </w:r>
            <w:r w:rsidR="00E72CFA" w:rsidRPr="00B81B07">
              <w:rPr>
                <w:rStyle w:val="Hyperlink"/>
                <w:rFonts w:ascii="Arial" w:hAnsi="Arial" w:cs="Arial"/>
                <w:noProof/>
              </w:rPr>
              <w:t>Review</w:t>
            </w:r>
            <w:r w:rsidR="00E72CFA">
              <w:rPr>
                <w:noProof/>
                <w:webHidden/>
              </w:rPr>
              <w:tab/>
            </w:r>
            <w:r w:rsidR="00E72CFA">
              <w:rPr>
                <w:noProof/>
                <w:webHidden/>
              </w:rPr>
              <w:fldChar w:fldCharType="begin"/>
            </w:r>
            <w:r w:rsidR="00E72CFA">
              <w:rPr>
                <w:noProof/>
                <w:webHidden/>
              </w:rPr>
              <w:instrText xml:space="preserve"> PAGEREF _Toc177374671 \h </w:instrText>
            </w:r>
            <w:r w:rsidR="00E72CFA">
              <w:rPr>
                <w:noProof/>
                <w:webHidden/>
              </w:rPr>
            </w:r>
            <w:r w:rsidR="00E72CFA">
              <w:rPr>
                <w:noProof/>
                <w:webHidden/>
              </w:rPr>
              <w:fldChar w:fldCharType="separate"/>
            </w:r>
            <w:r w:rsidR="00E72CFA">
              <w:rPr>
                <w:noProof/>
                <w:webHidden/>
              </w:rPr>
              <w:t>6</w:t>
            </w:r>
            <w:r w:rsidR="00E72CFA">
              <w:rPr>
                <w:noProof/>
                <w:webHidden/>
              </w:rPr>
              <w:fldChar w:fldCharType="end"/>
            </w:r>
          </w:hyperlink>
        </w:p>
        <w:p w14:paraId="58264721" w14:textId="2A9855D0" w:rsidR="00E72CFA" w:rsidRDefault="009F0786">
          <w:pPr>
            <w:pStyle w:val="TOC2"/>
            <w:tabs>
              <w:tab w:val="right" w:leader="dot" w:pos="9016"/>
            </w:tabs>
            <w:rPr>
              <w:noProof/>
              <w:kern w:val="2"/>
              <w:sz w:val="24"/>
              <w:szCs w:val="24"/>
              <w:lang w:eastAsia="en-GB"/>
              <w14:ligatures w14:val="standardContextual"/>
            </w:rPr>
          </w:pPr>
          <w:hyperlink w:anchor="_Toc177374672" w:history="1">
            <w:r w:rsidR="00E72CFA" w:rsidRPr="00B81B07">
              <w:rPr>
                <w:rStyle w:val="Hyperlink"/>
                <w:rFonts w:ascii="Arial" w:hAnsi="Arial" w:cs="Arial"/>
                <w:noProof/>
              </w:rPr>
              <w:t>APPENDIX A – ONLINE FA REFERRAL FORM</w:t>
            </w:r>
            <w:r w:rsidR="00E72CFA">
              <w:rPr>
                <w:noProof/>
                <w:webHidden/>
              </w:rPr>
              <w:tab/>
            </w:r>
            <w:r w:rsidR="00E72CFA">
              <w:rPr>
                <w:noProof/>
                <w:webHidden/>
              </w:rPr>
              <w:fldChar w:fldCharType="begin"/>
            </w:r>
            <w:r w:rsidR="00E72CFA">
              <w:rPr>
                <w:noProof/>
                <w:webHidden/>
              </w:rPr>
              <w:instrText xml:space="preserve"> PAGEREF _Toc177374672 \h </w:instrText>
            </w:r>
            <w:r w:rsidR="00E72CFA">
              <w:rPr>
                <w:noProof/>
                <w:webHidden/>
              </w:rPr>
            </w:r>
            <w:r w:rsidR="00E72CFA">
              <w:rPr>
                <w:noProof/>
                <w:webHidden/>
              </w:rPr>
              <w:fldChar w:fldCharType="separate"/>
            </w:r>
            <w:r w:rsidR="00E72CFA">
              <w:rPr>
                <w:noProof/>
                <w:webHidden/>
              </w:rPr>
              <w:t>7</w:t>
            </w:r>
            <w:r w:rsidR="00E72CFA">
              <w:rPr>
                <w:noProof/>
                <w:webHidden/>
              </w:rPr>
              <w:fldChar w:fldCharType="end"/>
            </w:r>
          </w:hyperlink>
        </w:p>
        <w:p w14:paraId="4F83AD28" w14:textId="79E4012A" w:rsidR="00E72CFA" w:rsidRDefault="009F0786">
          <w:pPr>
            <w:pStyle w:val="TOC2"/>
            <w:tabs>
              <w:tab w:val="right" w:leader="dot" w:pos="9016"/>
            </w:tabs>
            <w:rPr>
              <w:noProof/>
              <w:kern w:val="2"/>
              <w:sz w:val="24"/>
              <w:szCs w:val="24"/>
              <w:lang w:eastAsia="en-GB"/>
              <w14:ligatures w14:val="standardContextual"/>
            </w:rPr>
          </w:pPr>
          <w:hyperlink w:anchor="_Toc177374673" w:history="1">
            <w:r w:rsidR="00E72CFA" w:rsidRPr="00B81B07">
              <w:rPr>
                <w:rStyle w:val="Hyperlink"/>
                <w:rFonts w:ascii="Arial" w:hAnsi="Arial" w:cs="Arial"/>
                <w:noProof/>
              </w:rPr>
              <w:t>APPENDIX B – TERMLY SCHOOL FAP REPORT</w:t>
            </w:r>
            <w:r w:rsidR="00E72CFA">
              <w:rPr>
                <w:noProof/>
                <w:webHidden/>
              </w:rPr>
              <w:tab/>
            </w:r>
            <w:r w:rsidR="00E72CFA">
              <w:rPr>
                <w:noProof/>
                <w:webHidden/>
              </w:rPr>
              <w:fldChar w:fldCharType="begin"/>
            </w:r>
            <w:r w:rsidR="00E72CFA">
              <w:rPr>
                <w:noProof/>
                <w:webHidden/>
              </w:rPr>
              <w:instrText xml:space="preserve"> PAGEREF _Toc177374673 \h </w:instrText>
            </w:r>
            <w:r w:rsidR="00E72CFA">
              <w:rPr>
                <w:noProof/>
                <w:webHidden/>
              </w:rPr>
            </w:r>
            <w:r w:rsidR="00E72CFA">
              <w:rPr>
                <w:noProof/>
                <w:webHidden/>
              </w:rPr>
              <w:fldChar w:fldCharType="separate"/>
            </w:r>
            <w:r w:rsidR="00E72CFA">
              <w:rPr>
                <w:noProof/>
                <w:webHidden/>
              </w:rPr>
              <w:t>8</w:t>
            </w:r>
            <w:r w:rsidR="00E72CFA">
              <w:rPr>
                <w:noProof/>
                <w:webHidden/>
              </w:rPr>
              <w:fldChar w:fldCharType="end"/>
            </w:r>
          </w:hyperlink>
        </w:p>
        <w:p w14:paraId="0996AE27" w14:textId="08097EAA" w:rsidR="00E72CFA" w:rsidRDefault="009F0786">
          <w:pPr>
            <w:pStyle w:val="TOC2"/>
            <w:tabs>
              <w:tab w:val="right" w:leader="dot" w:pos="9016"/>
            </w:tabs>
            <w:rPr>
              <w:noProof/>
              <w:kern w:val="2"/>
              <w:sz w:val="24"/>
              <w:szCs w:val="24"/>
              <w:lang w:eastAsia="en-GB"/>
              <w14:ligatures w14:val="standardContextual"/>
            </w:rPr>
          </w:pPr>
          <w:hyperlink w:anchor="_Toc177374674" w:history="1">
            <w:r w:rsidR="00E72CFA" w:rsidRPr="00B81B07">
              <w:rPr>
                <w:rStyle w:val="Hyperlink"/>
                <w:rFonts w:ascii="Arial" w:hAnsi="Arial" w:cs="Arial"/>
                <w:noProof/>
              </w:rPr>
              <w:t>IFAP 2024-2025 Timetable</w:t>
            </w:r>
            <w:r w:rsidR="00E72CFA">
              <w:rPr>
                <w:noProof/>
                <w:webHidden/>
              </w:rPr>
              <w:tab/>
            </w:r>
            <w:r w:rsidR="00E72CFA">
              <w:rPr>
                <w:noProof/>
                <w:webHidden/>
              </w:rPr>
              <w:fldChar w:fldCharType="begin"/>
            </w:r>
            <w:r w:rsidR="00E72CFA">
              <w:rPr>
                <w:noProof/>
                <w:webHidden/>
              </w:rPr>
              <w:instrText xml:space="preserve"> PAGEREF _Toc177374674 \h </w:instrText>
            </w:r>
            <w:r w:rsidR="00E72CFA">
              <w:rPr>
                <w:noProof/>
                <w:webHidden/>
              </w:rPr>
            </w:r>
            <w:r w:rsidR="00E72CFA">
              <w:rPr>
                <w:noProof/>
                <w:webHidden/>
              </w:rPr>
              <w:fldChar w:fldCharType="separate"/>
            </w:r>
            <w:r w:rsidR="00E72CFA">
              <w:rPr>
                <w:noProof/>
                <w:webHidden/>
              </w:rPr>
              <w:t>9</w:t>
            </w:r>
            <w:r w:rsidR="00E72CFA">
              <w:rPr>
                <w:noProof/>
                <w:webHidden/>
              </w:rPr>
              <w:fldChar w:fldCharType="end"/>
            </w:r>
          </w:hyperlink>
        </w:p>
        <w:p w14:paraId="2A09D3A6" w14:textId="74A3C0BE" w:rsidR="00230F27" w:rsidRPr="00CA7D28" w:rsidRDefault="00230F27">
          <w:pPr>
            <w:rPr>
              <w:rFonts w:ascii="Arial" w:hAnsi="Arial" w:cs="Arial"/>
            </w:rPr>
          </w:pPr>
          <w:r w:rsidRPr="00E72CFA">
            <w:rPr>
              <w:rFonts w:ascii="Arial" w:hAnsi="Arial" w:cs="Arial"/>
              <w:b/>
              <w:bCs/>
            </w:rPr>
            <w:fldChar w:fldCharType="end"/>
          </w:r>
        </w:p>
      </w:sdtContent>
    </w:sdt>
    <w:p w14:paraId="09B5D156" w14:textId="49C0E585" w:rsidR="00230F27" w:rsidRPr="00230F27" w:rsidRDefault="00230F27">
      <w:pPr>
        <w:rPr>
          <w:rFonts w:ascii="Arial" w:hAnsi="Arial" w:cs="Arial"/>
        </w:rPr>
      </w:pPr>
      <w:r w:rsidRPr="00230F27">
        <w:rPr>
          <w:rFonts w:ascii="Arial" w:hAnsi="Arial" w:cs="Arial"/>
        </w:rPr>
        <w:br w:type="page"/>
      </w:r>
    </w:p>
    <w:p w14:paraId="0831F7F6" w14:textId="1E446E2B" w:rsidR="00230F27" w:rsidRPr="0027101D" w:rsidRDefault="00230F27" w:rsidP="00DC450C">
      <w:pPr>
        <w:pStyle w:val="Heading2"/>
        <w:numPr>
          <w:ilvl w:val="0"/>
          <w:numId w:val="1"/>
        </w:numPr>
        <w:ind w:left="426"/>
        <w:rPr>
          <w:rFonts w:ascii="Arial" w:hAnsi="Arial" w:cs="Arial"/>
        </w:rPr>
      </w:pPr>
      <w:bookmarkStart w:id="0" w:name="_Toc177374666"/>
      <w:r w:rsidRPr="0027101D">
        <w:rPr>
          <w:rFonts w:ascii="Arial" w:hAnsi="Arial" w:cs="Arial"/>
        </w:rPr>
        <w:lastRenderedPageBreak/>
        <w:t>Main Principles</w:t>
      </w:r>
      <w:bookmarkEnd w:id="0"/>
    </w:p>
    <w:p w14:paraId="6A77377F" w14:textId="2E08D194" w:rsidR="00230F27" w:rsidRPr="0027101D" w:rsidRDefault="00230F27" w:rsidP="0027101D">
      <w:pPr>
        <w:pStyle w:val="ListParagraph"/>
        <w:numPr>
          <w:ilvl w:val="1"/>
          <w:numId w:val="1"/>
        </w:numPr>
        <w:spacing w:before="120" w:after="120"/>
        <w:ind w:left="709"/>
        <w:contextualSpacing w:val="0"/>
        <w:rPr>
          <w:rFonts w:ascii="Arial" w:hAnsi="Arial" w:cs="Arial"/>
        </w:rPr>
      </w:pPr>
      <w:r w:rsidRPr="0027101D">
        <w:rPr>
          <w:rFonts w:ascii="Arial" w:hAnsi="Arial" w:cs="Arial"/>
        </w:rPr>
        <w:t>The School Admissions Code (2021) requires each Local Authority to have a Fair Access Protocol (FAP) to ensure that unplaced and vulnerable children, and those who are having difficulty securing a place in-year, are allocated a school place so that the length of time any pupil is out of school is kept to the minimum.</w:t>
      </w:r>
    </w:p>
    <w:p w14:paraId="3F8856D6" w14:textId="7B8217C6" w:rsidR="00230F27" w:rsidRPr="0027101D" w:rsidRDefault="00230F27" w:rsidP="0027101D">
      <w:pPr>
        <w:pStyle w:val="ListParagraph"/>
        <w:numPr>
          <w:ilvl w:val="1"/>
          <w:numId w:val="1"/>
        </w:numPr>
        <w:spacing w:before="120" w:after="120"/>
        <w:ind w:left="709"/>
        <w:contextualSpacing w:val="0"/>
        <w:rPr>
          <w:rFonts w:ascii="Arial" w:hAnsi="Arial" w:cs="Arial"/>
        </w:rPr>
      </w:pPr>
      <w:r w:rsidRPr="0027101D">
        <w:rPr>
          <w:rFonts w:ascii="Arial" w:hAnsi="Arial" w:cs="Arial"/>
        </w:rPr>
        <w:t xml:space="preserve">The guidance states that the Protocol must be developed with all schools in the area, agreed by the majority of schools, and all admission authorities must </w:t>
      </w:r>
      <w:proofErr w:type="gramStart"/>
      <w:r w:rsidRPr="0027101D">
        <w:rPr>
          <w:rFonts w:ascii="Arial" w:hAnsi="Arial" w:cs="Arial"/>
        </w:rPr>
        <w:t>participate</w:t>
      </w:r>
      <w:proofErr w:type="gramEnd"/>
      <w:r w:rsidRPr="0027101D">
        <w:rPr>
          <w:rFonts w:ascii="Arial" w:hAnsi="Arial" w:cs="Arial"/>
        </w:rPr>
        <w:t xml:space="preserve"> and decisions are binding on all schools. </w:t>
      </w:r>
    </w:p>
    <w:p w14:paraId="00D5C3CF" w14:textId="37E015B7" w:rsidR="000275E3" w:rsidRPr="0027101D" w:rsidRDefault="000275E3" w:rsidP="0027101D">
      <w:pPr>
        <w:pStyle w:val="ListParagraph"/>
        <w:numPr>
          <w:ilvl w:val="1"/>
          <w:numId w:val="1"/>
        </w:numPr>
        <w:spacing w:before="120" w:after="120"/>
        <w:ind w:left="709"/>
        <w:contextualSpacing w:val="0"/>
        <w:rPr>
          <w:rFonts w:ascii="Arial" w:hAnsi="Arial" w:cs="Arial"/>
        </w:rPr>
      </w:pPr>
      <w:r w:rsidRPr="0027101D">
        <w:rPr>
          <w:rFonts w:ascii="Arial" w:hAnsi="Arial" w:cs="Arial"/>
        </w:rPr>
        <w:t xml:space="preserve">The FAP is maintained and carried out by Tameside’s School Admissions Team. </w:t>
      </w:r>
    </w:p>
    <w:p w14:paraId="43C42C0D" w14:textId="3C2AD436" w:rsidR="00230F27" w:rsidRPr="0027101D" w:rsidRDefault="00230F27" w:rsidP="0027101D">
      <w:pPr>
        <w:pStyle w:val="ListParagraph"/>
        <w:numPr>
          <w:ilvl w:val="1"/>
          <w:numId w:val="1"/>
        </w:numPr>
        <w:spacing w:before="120" w:after="120"/>
        <w:ind w:left="709"/>
        <w:contextualSpacing w:val="0"/>
        <w:rPr>
          <w:rFonts w:ascii="Arial" w:hAnsi="Arial" w:cs="Arial"/>
        </w:rPr>
      </w:pPr>
      <w:r w:rsidRPr="0027101D">
        <w:rPr>
          <w:rFonts w:ascii="Arial" w:hAnsi="Arial" w:cs="Arial"/>
        </w:rPr>
        <w:t>Fair Access Protocols can only be applied to in-year applications and not applications for the normal point of entry (Reception or Year 6 to Year 7 transition).</w:t>
      </w:r>
    </w:p>
    <w:p w14:paraId="7DEE6170" w14:textId="55FA90CE" w:rsidR="00230F27" w:rsidRPr="0027101D" w:rsidRDefault="00230F27" w:rsidP="0027101D">
      <w:pPr>
        <w:pStyle w:val="ListParagraph"/>
        <w:numPr>
          <w:ilvl w:val="1"/>
          <w:numId w:val="1"/>
        </w:numPr>
        <w:spacing w:before="120" w:after="120"/>
        <w:ind w:left="709"/>
        <w:contextualSpacing w:val="0"/>
        <w:rPr>
          <w:rFonts w:ascii="Arial" w:hAnsi="Arial" w:cs="Arial"/>
        </w:rPr>
      </w:pPr>
      <w:r w:rsidRPr="0027101D">
        <w:rPr>
          <w:rFonts w:ascii="Arial" w:hAnsi="Arial" w:cs="Arial"/>
        </w:rPr>
        <w:t>The FAP will ensure that no school or academy, including those with available places, is asked to take a disproportionate number of children and young people who have been excluded from other schools or academies or who have challenging behaviour.</w:t>
      </w:r>
    </w:p>
    <w:p w14:paraId="669458CF" w14:textId="63F6CF51" w:rsidR="00230F27" w:rsidRPr="0027101D" w:rsidRDefault="00D75528" w:rsidP="0027101D">
      <w:pPr>
        <w:pStyle w:val="ListParagraph"/>
        <w:numPr>
          <w:ilvl w:val="1"/>
          <w:numId w:val="1"/>
        </w:numPr>
        <w:spacing w:before="120" w:after="120"/>
        <w:ind w:left="709"/>
        <w:contextualSpacing w:val="0"/>
        <w:rPr>
          <w:rFonts w:ascii="Arial" w:hAnsi="Arial" w:cs="Arial"/>
        </w:rPr>
      </w:pPr>
      <w:r w:rsidRPr="0027101D">
        <w:rPr>
          <w:rFonts w:ascii="Arial" w:hAnsi="Arial" w:cs="Arial"/>
        </w:rPr>
        <w:t>Admission Authorities must not refuse to admit a pupil thought to be potentially disruptive, or likely to exhibit challenging behaviour, on the grounds that the child or young person is first to be assessed for special educational needs.</w:t>
      </w:r>
    </w:p>
    <w:p w14:paraId="4D3A938A" w14:textId="575EA5DC" w:rsidR="00D75528" w:rsidRPr="0027101D" w:rsidRDefault="00D75528" w:rsidP="0027101D">
      <w:pPr>
        <w:pStyle w:val="ListParagraph"/>
        <w:numPr>
          <w:ilvl w:val="1"/>
          <w:numId w:val="1"/>
        </w:numPr>
        <w:spacing w:after="120"/>
        <w:ind w:left="709"/>
        <w:contextualSpacing w:val="0"/>
        <w:rPr>
          <w:rFonts w:ascii="Arial" w:hAnsi="Arial" w:cs="Arial"/>
        </w:rPr>
      </w:pPr>
      <w:r w:rsidRPr="0027101D">
        <w:rPr>
          <w:rFonts w:ascii="Arial" w:hAnsi="Arial" w:cs="Arial"/>
        </w:rPr>
        <w:t>Where it has been agreed that an application will be considered under the Fair Access Protocol, a school place must be allocated within 20 school days of receipt of the application. Schools should arrange admission as soon as possible, without unnecessary delay. Where a school is asked to admit and fails to comply, they may be directed to do so.</w:t>
      </w:r>
    </w:p>
    <w:p w14:paraId="248F6155" w14:textId="56E10CD4" w:rsidR="00D75528" w:rsidRDefault="00D75528" w:rsidP="0027101D">
      <w:pPr>
        <w:pStyle w:val="ListParagraph"/>
        <w:numPr>
          <w:ilvl w:val="1"/>
          <w:numId w:val="1"/>
        </w:numPr>
        <w:spacing w:after="120"/>
        <w:ind w:left="709"/>
        <w:contextualSpacing w:val="0"/>
        <w:rPr>
          <w:rFonts w:ascii="Arial" w:hAnsi="Arial" w:cs="Arial"/>
        </w:rPr>
      </w:pPr>
      <w:r w:rsidRPr="0027101D">
        <w:rPr>
          <w:rFonts w:ascii="Arial" w:hAnsi="Arial" w:cs="Arial"/>
        </w:rPr>
        <w:t xml:space="preserve">Where the majority of schools and admission authorities in Tameside can no longer support the principles and approach of the Fair Access Protocol, they should initiate a review with the local authority. </w:t>
      </w:r>
    </w:p>
    <w:p w14:paraId="7A365039" w14:textId="77777777" w:rsidR="00F70F44" w:rsidRPr="00F70F44" w:rsidRDefault="00F70F44" w:rsidP="00F70F44">
      <w:pPr>
        <w:spacing w:after="120"/>
        <w:ind w:left="-11"/>
        <w:rPr>
          <w:rFonts w:ascii="Arial" w:hAnsi="Arial" w:cs="Arial"/>
        </w:rPr>
      </w:pPr>
    </w:p>
    <w:p w14:paraId="6BB2E63A" w14:textId="265947BC" w:rsidR="00D75528" w:rsidRPr="0027101D" w:rsidRDefault="00D75528" w:rsidP="00EC3971">
      <w:pPr>
        <w:pStyle w:val="Heading2"/>
        <w:numPr>
          <w:ilvl w:val="0"/>
          <w:numId w:val="1"/>
        </w:numPr>
        <w:spacing w:after="120"/>
        <w:ind w:left="426"/>
        <w:rPr>
          <w:rFonts w:ascii="Arial" w:hAnsi="Arial" w:cs="Arial"/>
        </w:rPr>
      </w:pPr>
      <w:bookmarkStart w:id="1" w:name="_Toc177374667"/>
      <w:r w:rsidRPr="0027101D">
        <w:rPr>
          <w:rFonts w:ascii="Arial" w:hAnsi="Arial" w:cs="Arial"/>
        </w:rPr>
        <w:t>Referral to the Fair Access Protocol (FAP)</w:t>
      </w:r>
      <w:bookmarkEnd w:id="1"/>
    </w:p>
    <w:p w14:paraId="77C5F0E6" w14:textId="6CFD10AB" w:rsidR="00D75528" w:rsidRPr="0027101D" w:rsidRDefault="00D75528" w:rsidP="00EC3971">
      <w:pPr>
        <w:pStyle w:val="ListParagraph"/>
        <w:numPr>
          <w:ilvl w:val="1"/>
          <w:numId w:val="1"/>
        </w:numPr>
        <w:spacing w:after="120"/>
        <w:ind w:left="709" w:hanging="709"/>
        <w:contextualSpacing w:val="0"/>
        <w:rPr>
          <w:rFonts w:ascii="Arial" w:hAnsi="Arial" w:cs="Arial"/>
        </w:rPr>
      </w:pPr>
      <w:r w:rsidRPr="0027101D">
        <w:rPr>
          <w:rFonts w:ascii="Arial" w:hAnsi="Arial" w:cs="Arial"/>
        </w:rPr>
        <w:t>Referral to the FAP should be seen as the last resort to secure a school place for a child. Where possible, children should be placed in school through the usual in-year admissions process</w:t>
      </w:r>
      <w:r w:rsidR="000275E3" w:rsidRPr="0027101D">
        <w:rPr>
          <w:rFonts w:ascii="Arial" w:hAnsi="Arial" w:cs="Arial"/>
        </w:rPr>
        <w:t>.</w:t>
      </w:r>
    </w:p>
    <w:p w14:paraId="15383335" w14:textId="2C526967" w:rsidR="00D75528" w:rsidRPr="0027101D" w:rsidRDefault="000275E3" w:rsidP="0027101D">
      <w:pPr>
        <w:pStyle w:val="ListParagraph"/>
        <w:numPr>
          <w:ilvl w:val="1"/>
          <w:numId w:val="1"/>
        </w:numPr>
        <w:spacing w:after="120"/>
        <w:ind w:left="709" w:hanging="709"/>
        <w:contextualSpacing w:val="0"/>
        <w:rPr>
          <w:rFonts w:ascii="Arial" w:hAnsi="Arial" w:cs="Arial"/>
        </w:rPr>
      </w:pPr>
      <w:r w:rsidRPr="0027101D">
        <w:rPr>
          <w:rFonts w:ascii="Arial" w:hAnsi="Arial" w:cs="Arial"/>
        </w:rPr>
        <w:t>Fair Access Protocols may only be used to place vulnerable and/or hard-to-place pupils who meet the FAP criteria where they are having difficulty in securing a school place in-year AND it can be demonstrated that reasonable measures have been taken to secure a place through normal in-year admissions procedures.</w:t>
      </w:r>
    </w:p>
    <w:p w14:paraId="7053725F" w14:textId="0C5C3DE6" w:rsidR="000275E3" w:rsidRPr="0027101D" w:rsidRDefault="000275E3" w:rsidP="0027101D">
      <w:pPr>
        <w:pStyle w:val="ListParagraph"/>
        <w:numPr>
          <w:ilvl w:val="1"/>
          <w:numId w:val="1"/>
        </w:numPr>
        <w:spacing w:after="120"/>
        <w:ind w:left="709" w:hanging="709"/>
        <w:contextualSpacing w:val="0"/>
        <w:rPr>
          <w:rFonts w:ascii="Arial" w:hAnsi="Arial" w:cs="Arial"/>
        </w:rPr>
      </w:pPr>
      <w:r w:rsidRPr="0027101D">
        <w:rPr>
          <w:rFonts w:ascii="Arial" w:hAnsi="Arial" w:cs="Arial"/>
        </w:rPr>
        <w:t>Where an admission authority considers that the pupil may fall into a fair access category, the school should notify the Admissions Team of this as soon as possible stating the reasons for referral. A</w:t>
      </w:r>
      <w:r w:rsidR="00D8493D">
        <w:rPr>
          <w:rFonts w:ascii="Arial" w:hAnsi="Arial" w:cs="Arial"/>
        </w:rPr>
        <w:t xml:space="preserve">n online </w:t>
      </w:r>
      <w:r w:rsidRPr="0027101D">
        <w:rPr>
          <w:rFonts w:ascii="Arial" w:hAnsi="Arial" w:cs="Arial"/>
        </w:rPr>
        <w:t xml:space="preserve">referral </w:t>
      </w:r>
      <w:r w:rsidR="00D8493D">
        <w:rPr>
          <w:rFonts w:ascii="Arial" w:hAnsi="Arial" w:cs="Arial"/>
        </w:rPr>
        <w:t>f</w:t>
      </w:r>
      <w:r w:rsidRPr="0027101D">
        <w:rPr>
          <w:rFonts w:ascii="Arial" w:hAnsi="Arial" w:cs="Arial"/>
        </w:rPr>
        <w:t xml:space="preserve">orm is </w:t>
      </w:r>
      <w:r w:rsidR="00D8493D">
        <w:rPr>
          <w:rFonts w:ascii="Arial" w:hAnsi="Arial" w:cs="Arial"/>
        </w:rPr>
        <w:t>shown</w:t>
      </w:r>
      <w:r w:rsidR="00D8493D" w:rsidRPr="0027101D">
        <w:rPr>
          <w:rFonts w:ascii="Arial" w:hAnsi="Arial" w:cs="Arial"/>
        </w:rPr>
        <w:t xml:space="preserve"> </w:t>
      </w:r>
      <w:r w:rsidRPr="0027101D">
        <w:rPr>
          <w:rFonts w:ascii="Arial" w:hAnsi="Arial" w:cs="Arial"/>
        </w:rPr>
        <w:t xml:space="preserve">at Appendix A for this purpose. </w:t>
      </w:r>
      <w:r w:rsidR="00D8493D">
        <w:rPr>
          <w:rFonts w:ascii="Arial" w:hAnsi="Arial" w:cs="Arial"/>
        </w:rPr>
        <w:t xml:space="preserve">The form is submitted using this link:  </w:t>
      </w:r>
      <w:hyperlink r:id="rId12" w:history="1">
        <w:r w:rsidR="00016913" w:rsidRPr="00294434">
          <w:rPr>
            <w:rStyle w:val="Hyperlink"/>
            <w:rFonts w:ascii="Arial" w:hAnsi="Arial" w:cs="Arial"/>
          </w:rPr>
          <w:t>https://forms.office.com/e/ta0QgvcCe1</w:t>
        </w:r>
      </w:hyperlink>
      <w:r w:rsidR="00016913">
        <w:rPr>
          <w:rFonts w:ascii="Arial" w:hAnsi="Arial" w:cs="Arial"/>
        </w:rPr>
        <w:t xml:space="preserve"> </w:t>
      </w:r>
      <w:r w:rsidR="00AE22C6">
        <w:rPr>
          <w:rFonts w:ascii="Arial" w:hAnsi="Arial" w:cs="Arial"/>
        </w:rPr>
        <w:br/>
      </w:r>
      <w:r w:rsidRPr="0027101D">
        <w:rPr>
          <w:rFonts w:ascii="Arial" w:hAnsi="Arial" w:cs="Arial"/>
        </w:rPr>
        <w:t xml:space="preserve">Where the LA subsequently decides that a child is to be placed via the FAP, parents will be </w:t>
      </w:r>
      <w:r w:rsidR="00F42DF2" w:rsidRPr="0027101D">
        <w:rPr>
          <w:rFonts w:ascii="Arial" w:hAnsi="Arial" w:cs="Arial"/>
        </w:rPr>
        <w:t>notified,</w:t>
      </w:r>
      <w:r w:rsidRPr="0027101D">
        <w:rPr>
          <w:rFonts w:ascii="Arial" w:hAnsi="Arial" w:cs="Arial"/>
        </w:rPr>
        <w:t xml:space="preserve"> and a school place must be allocated to that child within 20 school days.</w:t>
      </w:r>
    </w:p>
    <w:p w14:paraId="4FC2BCC8" w14:textId="5C88B4E9" w:rsidR="000275E3" w:rsidRPr="0027101D" w:rsidRDefault="000275E3" w:rsidP="0027101D">
      <w:pPr>
        <w:pStyle w:val="ListParagraph"/>
        <w:numPr>
          <w:ilvl w:val="1"/>
          <w:numId w:val="1"/>
        </w:numPr>
        <w:spacing w:after="120"/>
        <w:ind w:left="709" w:hanging="709"/>
        <w:contextualSpacing w:val="0"/>
        <w:rPr>
          <w:rFonts w:ascii="Arial" w:hAnsi="Arial" w:cs="Arial"/>
        </w:rPr>
      </w:pPr>
      <w:r w:rsidRPr="0027101D">
        <w:rPr>
          <w:rFonts w:ascii="Arial" w:eastAsia="Arial Unicode MS" w:hAnsi="Arial" w:cs="Arial"/>
          <w:lang w:val="en-US"/>
        </w:rPr>
        <w:t>The FAP will only be used to place the following groups of pupils:</w:t>
      </w:r>
    </w:p>
    <w:p w14:paraId="7263735F" w14:textId="64898903" w:rsidR="000275E3" w:rsidRPr="0027101D" w:rsidRDefault="000275E3" w:rsidP="00687BE4">
      <w:pPr>
        <w:pStyle w:val="ListParagraph"/>
        <w:numPr>
          <w:ilvl w:val="2"/>
          <w:numId w:val="3"/>
        </w:numPr>
        <w:spacing w:after="120"/>
        <w:ind w:left="1418"/>
        <w:contextualSpacing w:val="0"/>
        <w:rPr>
          <w:rFonts w:ascii="Arial" w:hAnsi="Arial" w:cs="Arial"/>
        </w:rPr>
      </w:pPr>
      <w:r w:rsidRPr="0027101D">
        <w:rPr>
          <w:rFonts w:ascii="Arial" w:hAnsi="Arial" w:cs="Arial"/>
        </w:rPr>
        <w:lastRenderedPageBreak/>
        <w:t xml:space="preserve">children either subject to a Child in Need Plan or a Child Protection Plan or having had a Child in Need Plan or a Child Protection Plan within 12 months at the point of being referred to the </w:t>
      </w:r>
      <w:proofErr w:type="gramStart"/>
      <w:r w:rsidRPr="0027101D">
        <w:rPr>
          <w:rFonts w:ascii="Arial" w:hAnsi="Arial" w:cs="Arial"/>
        </w:rPr>
        <w:t>FAP;</w:t>
      </w:r>
      <w:proofErr w:type="gramEnd"/>
    </w:p>
    <w:p w14:paraId="1A6E7DA0" w14:textId="6F25E731" w:rsidR="000275E3" w:rsidRPr="0027101D" w:rsidRDefault="000275E3" w:rsidP="00687BE4">
      <w:pPr>
        <w:pStyle w:val="ListParagraph"/>
        <w:numPr>
          <w:ilvl w:val="2"/>
          <w:numId w:val="3"/>
        </w:numPr>
        <w:spacing w:after="120"/>
        <w:ind w:left="1418"/>
        <w:contextualSpacing w:val="0"/>
        <w:rPr>
          <w:rFonts w:ascii="Arial" w:hAnsi="Arial" w:cs="Arial"/>
        </w:rPr>
      </w:pPr>
      <w:r w:rsidRPr="0027101D">
        <w:rPr>
          <w:rFonts w:ascii="Arial" w:hAnsi="Arial" w:cs="Arial"/>
        </w:rPr>
        <w:t xml:space="preserve">children living in a refuge or in other Relevant Accommodation at the point of being referred to the </w:t>
      </w:r>
      <w:proofErr w:type="gramStart"/>
      <w:r w:rsidRPr="0027101D">
        <w:rPr>
          <w:rFonts w:ascii="Arial" w:hAnsi="Arial" w:cs="Arial"/>
        </w:rPr>
        <w:t>FAP;</w:t>
      </w:r>
      <w:proofErr w:type="gramEnd"/>
    </w:p>
    <w:p w14:paraId="0ED43A4A" w14:textId="76B8D4A9" w:rsidR="000275E3" w:rsidRPr="0027101D" w:rsidRDefault="000275E3" w:rsidP="00687BE4">
      <w:pPr>
        <w:pStyle w:val="ListParagraph"/>
        <w:numPr>
          <w:ilvl w:val="2"/>
          <w:numId w:val="3"/>
        </w:numPr>
        <w:spacing w:after="120"/>
        <w:ind w:left="1418"/>
        <w:contextualSpacing w:val="0"/>
        <w:rPr>
          <w:rFonts w:ascii="Arial" w:hAnsi="Arial" w:cs="Arial"/>
        </w:rPr>
      </w:pPr>
      <w:r w:rsidRPr="0027101D">
        <w:rPr>
          <w:rFonts w:ascii="Arial" w:hAnsi="Arial" w:cs="Arial"/>
        </w:rPr>
        <w:t xml:space="preserve">children from the criminal justice </w:t>
      </w:r>
      <w:proofErr w:type="gramStart"/>
      <w:r w:rsidRPr="0027101D">
        <w:rPr>
          <w:rFonts w:ascii="Arial" w:hAnsi="Arial" w:cs="Arial"/>
        </w:rPr>
        <w:t>system;</w:t>
      </w:r>
      <w:proofErr w:type="gramEnd"/>
    </w:p>
    <w:p w14:paraId="7FBC7DA2" w14:textId="2FEA2421" w:rsidR="000275E3" w:rsidRPr="0027101D" w:rsidRDefault="000275E3" w:rsidP="00687BE4">
      <w:pPr>
        <w:pStyle w:val="ListParagraph"/>
        <w:numPr>
          <w:ilvl w:val="2"/>
          <w:numId w:val="3"/>
        </w:numPr>
        <w:spacing w:after="120"/>
        <w:ind w:left="1418"/>
        <w:contextualSpacing w:val="0"/>
        <w:rPr>
          <w:rFonts w:ascii="Arial" w:hAnsi="Arial" w:cs="Arial"/>
        </w:rPr>
      </w:pPr>
      <w:r w:rsidRPr="0027101D">
        <w:rPr>
          <w:rFonts w:ascii="Arial" w:hAnsi="Arial" w:cs="Arial"/>
        </w:rPr>
        <w:t xml:space="preserve">children in alternative provision who need to be reintegrated into mainstream education or who have been permanently excluded but are deemed suitable for mainstream </w:t>
      </w:r>
      <w:proofErr w:type="gramStart"/>
      <w:r w:rsidRPr="0027101D">
        <w:rPr>
          <w:rFonts w:ascii="Arial" w:hAnsi="Arial" w:cs="Arial"/>
        </w:rPr>
        <w:t>education;</w:t>
      </w:r>
      <w:proofErr w:type="gramEnd"/>
    </w:p>
    <w:p w14:paraId="687264C0" w14:textId="22C84D7D" w:rsidR="000275E3" w:rsidRPr="0027101D" w:rsidRDefault="000275E3" w:rsidP="00687BE4">
      <w:pPr>
        <w:pStyle w:val="ListParagraph"/>
        <w:numPr>
          <w:ilvl w:val="2"/>
          <w:numId w:val="3"/>
        </w:numPr>
        <w:spacing w:after="120"/>
        <w:ind w:left="1418"/>
        <w:contextualSpacing w:val="0"/>
        <w:rPr>
          <w:rFonts w:ascii="Arial" w:hAnsi="Arial" w:cs="Arial"/>
        </w:rPr>
      </w:pPr>
      <w:r w:rsidRPr="0027101D">
        <w:rPr>
          <w:rFonts w:ascii="Arial" w:hAnsi="Arial" w:cs="Arial"/>
        </w:rPr>
        <w:t xml:space="preserve">children with special educational needs (but without an education, health and care plan), disabilities or medical </w:t>
      </w:r>
      <w:proofErr w:type="gramStart"/>
      <w:r w:rsidRPr="0027101D">
        <w:rPr>
          <w:rFonts w:ascii="Arial" w:hAnsi="Arial" w:cs="Arial"/>
        </w:rPr>
        <w:t>conditions;</w:t>
      </w:r>
      <w:proofErr w:type="gramEnd"/>
    </w:p>
    <w:p w14:paraId="4533284E" w14:textId="055EE554" w:rsidR="000275E3" w:rsidRPr="0027101D" w:rsidRDefault="00BA40A4" w:rsidP="00687BE4">
      <w:pPr>
        <w:pStyle w:val="ListParagraph"/>
        <w:numPr>
          <w:ilvl w:val="2"/>
          <w:numId w:val="3"/>
        </w:numPr>
        <w:spacing w:after="120"/>
        <w:ind w:left="1418"/>
        <w:contextualSpacing w:val="0"/>
        <w:rPr>
          <w:rFonts w:ascii="Arial" w:hAnsi="Arial" w:cs="Arial"/>
        </w:rPr>
      </w:pPr>
      <w:r w:rsidRPr="0027101D">
        <w:rPr>
          <w:rFonts w:ascii="Arial" w:hAnsi="Arial" w:cs="Arial"/>
        </w:rPr>
        <w:t>children who are carers</w:t>
      </w:r>
    </w:p>
    <w:p w14:paraId="62356036" w14:textId="10353DCE" w:rsidR="00BA40A4" w:rsidRPr="0027101D" w:rsidRDefault="005948EE" w:rsidP="00687BE4">
      <w:pPr>
        <w:pStyle w:val="ListParagraph"/>
        <w:numPr>
          <w:ilvl w:val="2"/>
          <w:numId w:val="3"/>
        </w:numPr>
        <w:spacing w:after="120"/>
        <w:ind w:left="1418"/>
        <w:contextualSpacing w:val="0"/>
        <w:rPr>
          <w:rFonts w:ascii="Arial" w:hAnsi="Arial" w:cs="Arial"/>
        </w:rPr>
      </w:pPr>
      <w:r w:rsidRPr="0027101D">
        <w:rPr>
          <w:rFonts w:ascii="Arial" w:hAnsi="Arial" w:cs="Arial"/>
        </w:rPr>
        <w:t>children who are homeless</w:t>
      </w:r>
    </w:p>
    <w:p w14:paraId="3F7DE0CB" w14:textId="436C7128" w:rsidR="005948EE" w:rsidRPr="0027101D" w:rsidRDefault="009D1BA2" w:rsidP="00687BE4">
      <w:pPr>
        <w:pStyle w:val="ListParagraph"/>
        <w:numPr>
          <w:ilvl w:val="2"/>
          <w:numId w:val="3"/>
        </w:numPr>
        <w:spacing w:after="120"/>
        <w:ind w:left="1418"/>
        <w:contextualSpacing w:val="0"/>
        <w:rPr>
          <w:rFonts w:ascii="Arial" w:hAnsi="Arial" w:cs="Arial"/>
        </w:rPr>
      </w:pPr>
      <w:r w:rsidRPr="0027101D">
        <w:rPr>
          <w:rFonts w:ascii="Arial" w:hAnsi="Arial" w:cs="Arial"/>
        </w:rPr>
        <w:t>children in formal kinship care arrangements</w:t>
      </w:r>
    </w:p>
    <w:p w14:paraId="5B9DBBF4" w14:textId="4686DFAA" w:rsidR="009D1BA2" w:rsidRPr="0027101D" w:rsidRDefault="00D55130" w:rsidP="00687BE4">
      <w:pPr>
        <w:pStyle w:val="ListParagraph"/>
        <w:numPr>
          <w:ilvl w:val="2"/>
          <w:numId w:val="3"/>
        </w:numPr>
        <w:spacing w:after="120"/>
        <w:ind w:left="1418"/>
        <w:contextualSpacing w:val="0"/>
        <w:rPr>
          <w:rFonts w:ascii="Arial" w:hAnsi="Arial" w:cs="Arial"/>
        </w:rPr>
      </w:pPr>
      <w:r w:rsidRPr="0027101D">
        <w:rPr>
          <w:rFonts w:ascii="Arial" w:hAnsi="Arial" w:cs="Arial"/>
        </w:rPr>
        <w:t xml:space="preserve">children of, or who are, Gypsies, Roma, Travellers, refugees and asylum </w:t>
      </w:r>
      <w:proofErr w:type="gramStart"/>
      <w:r w:rsidRPr="0027101D">
        <w:rPr>
          <w:rFonts w:ascii="Arial" w:hAnsi="Arial" w:cs="Arial"/>
        </w:rPr>
        <w:t>seekers;</w:t>
      </w:r>
      <w:proofErr w:type="gramEnd"/>
    </w:p>
    <w:p w14:paraId="593EFB24" w14:textId="4D233B38" w:rsidR="00392E3E" w:rsidRPr="0027101D" w:rsidRDefault="00392E3E" w:rsidP="00687BE4">
      <w:pPr>
        <w:pStyle w:val="ListParagraph"/>
        <w:numPr>
          <w:ilvl w:val="2"/>
          <w:numId w:val="3"/>
        </w:numPr>
        <w:spacing w:after="120"/>
        <w:ind w:left="1418"/>
        <w:contextualSpacing w:val="0"/>
        <w:rPr>
          <w:rFonts w:ascii="Arial" w:hAnsi="Arial" w:cs="Arial"/>
        </w:rPr>
      </w:pPr>
      <w:r w:rsidRPr="0027101D">
        <w:rPr>
          <w:rFonts w:ascii="Arial" w:hAnsi="Arial" w:cs="Arial"/>
        </w:rPr>
        <w:t xml:space="preserve">children who have been refused a school place on the grounds of their challenging behaviour and referred to the FAP in accordance with paragraph 3.10 of the </w:t>
      </w:r>
      <w:proofErr w:type="gramStart"/>
      <w:r w:rsidRPr="0027101D">
        <w:rPr>
          <w:rFonts w:ascii="Arial" w:hAnsi="Arial" w:cs="Arial"/>
        </w:rPr>
        <w:t>Code;</w:t>
      </w:r>
      <w:proofErr w:type="gramEnd"/>
    </w:p>
    <w:p w14:paraId="7BA41642" w14:textId="4B82E1C9" w:rsidR="00392E3E" w:rsidRPr="0027101D" w:rsidRDefault="00A209F9" w:rsidP="00687BE4">
      <w:pPr>
        <w:pStyle w:val="ListParagraph"/>
        <w:numPr>
          <w:ilvl w:val="2"/>
          <w:numId w:val="3"/>
        </w:numPr>
        <w:spacing w:after="120"/>
        <w:ind w:left="1418"/>
        <w:contextualSpacing w:val="0"/>
        <w:rPr>
          <w:rFonts w:ascii="Arial" w:hAnsi="Arial" w:cs="Arial"/>
        </w:rPr>
      </w:pPr>
      <w:r w:rsidRPr="0027101D">
        <w:rPr>
          <w:rFonts w:ascii="Arial" w:hAnsi="Arial" w:cs="Arial"/>
        </w:rPr>
        <w:t>children for whom a place has not been sought due to exceptional circumstances (as determined by the Local Authority based on the circumstances of the case)</w:t>
      </w:r>
    </w:p>
    <w:p w14:paraId="6868F33F" w14:textId="303A2F5D" w:rsidR="00112C49" w:rsidRPr="0027101D" w:rsidRDefault="00112C49" w:rsidP="00687BE4">
      <w:pPr>
        <w:pStyle w:val="ListParagraph"/>
        <w:numPr>
          <w:ilvl w:val="2"/>
          <w:numId w:val="3"/>
        </w:numPr>
        <w:spacing w:after="120"/>
        <w:ind w:left="1418"/>
        <w:contextualSpacing w:val="0"/>
        <w:rPr>
          <w:rFonts w:ascii="Arial" w:hAnsi="Arial" w:cs="Arial"/>
        </w:rPr>
      </w:pPr>
      <w:r w:rsidRPr="0027101D">
        <w:rPr>
          <w:rFonts w:ascii="Arial" w:hAnsi="Arial" w:cs="Arial"/>
        </w:rPr>
        <w:t>children who have been out of education for 4 or more weeks where it can be demonstrated that there are no places available at any school within a reasonable distance of their home. This does not include circumstances where a suitable place has been offered to a child and this has not been accepted; and</w:t>
      </w:r>
    </w:p>
    <w:p w14:paraId="2FCA32A4" w14:textId="79B456BE" w:rsidR="00112C49" w:rsidRPr="0027101D" w:rsidRDefault="001B1D87" w:rsidP="00687BE4">
      <w:pPr>
        <w:pStyle w:val="ListParagraph"/>
        <w:numPr>
          <w:ilvl w:val="2"/>
          <w:numId w:val="3"/>
        </w:numPr>
        <w:spacing w:after="120"/>
        <w:ind w:left="1418"/>
        <w:contextualSpacing w:val="0"/>
        <w:rPr>
          <w:rFonts w:ascii="Arial" w:hAnsi="Arial" w:cs="Arial"/>
        </w:rPr>
      </w:pPr>
      <w:r w:rsidRPr="0027101D">
        <w:rPr>
          <w:rFonts w:ascii="Arial" w:hAnsi="Arial" w:cs="Arial"/>
        </w:rPr>
        <w:t>previously looked after children for whom the local authority has been unable to promptly secure a school place</w:t>
      </w:r>
    </w:p>
    <w:p w14:paraId="392151E7" w14:textId="688D9D58" w:rsidR="00321840" w:rsidRDefault="00321840" w:rsidP="0027101D">
      <w:pPr>
        <w:pStyle w:val="ListParagraph"/>
        <w:numPr>
          <w:ilvl w:val="1"/>
          <w:numId w:val="1"/>
        </w:numPr>
        <w:spacing w:after="120"/>
        <w:contextualSpacing w:val="0"/>
        <w:rPr>
          <w:rFonts w:ascii="Arial" w:hAnsi="Arial" w:cs="Arial"/>
        </w:rPr>
      </w:pPr>
      <w:r w:rsidRPr="0027101D">
        <w:rPr>
          <w:rFonts w:ascii="Arial" w:hAnsi="Arial" w:cs="Arial"/>
        </w:rPr>
        <w:t>In most cases, use of the FAP should be unnecessary for a previously looked after child. The LA is expected to secure a school place promptly for such children and for admission authorities to cooperate with this. The LA will consider use of their general powers of direction or will ask the Secretary of State to consider issuing a direction [as set out in paragraphs 3.26 to 3.29 of the Code]</w:t>
      </w:r>
      <w:r w:rsidR="005D66A4" w:rsidRPr="0027101D">
        <w:rPr>
          <w:rFonts w:ascii="Arial" w:hAnsi="Arial" w:cs="Arial"/>
        </w:rPr>
        <w:t xml:space="preserve">. </w:t>
      </w:r>
    </w:p>
    <w:p w14:paraId="4FCB16F2" w14:textId="49B4B58E" w:rsidR="00085BE8" w:rsidRDefault="00085BE8" w:rsidP="0027101D">
      <w:pPr>
        <w:pStyle w:val="ListParagraph"/>
        <w:numPr>
          <w:ilvl w:val="1"/>
          <w:numId w:val="1"/>
        </w:numPr>
        <w:spacing w:after="120"/>
        <w:contextualSpacing w:val="0"/>
        <w:rPr>
          <w:rFonts w:ascii="Arial" w:hAnsi="Arial" w:cs="Arial"/>
        </w:rPr>
      </w:pPr>
      <w:r>
        <w:rPr>
          <w:rFonts w:ascii="Arial" w:hAnsi="Arial" w:cs="Arial"/>
        </w:rPr>
        <w:t xml:space="preserve">Category J, children </w:t>
      </w:r>
      <w:r w:rsidR="0018771D">
        <w:rPr>
          <w:rFonts w:ascii="Arial" w:hAnsi="Arial" w:cs="Arial"/>
        </w:rPr>
        <w:t xml:space="preserve">who display challenging behaviour </w:t>
      </w:r>
      <w:r w:rsidR="009C493D">
        <w:rPr>
          <w:rFonts w:ascii="Arial" w:hAnsi="Arial" w:cs="Arial"/>
        </w:rPr>
        <w:t xml:space="preserve">can be described as </w:t>
      </w:r>
      <w:r w:rsidR="00F90BEF" w:rsidRPr="00F90BEF">
        <w:rPr>
          <w:rFonts w:ascii="Arial" w:hAnsi="Arial" w:cs="Arial"/>
        </w:rPr>
        <w:t>where it would be unlikely to be responsive to the usual range of interventions to help prevent and address pupil misbehaviour or it is of such severity, frequency or duration that it is beyond the normal range that schools can tolerate. We would expect this behaviour to significantly interfere with the pupil’s or other pupils’ education or jeopardise the right of staff and pupils to a safe and orderly environment.</w:t>
      </w:r>
    </w:p>
    <w:p w14:paraId="542EE8BF" w14:textId="493F7F33" w:rsidR="00AF220C" w:rsidRDefault="00AF220C" w:rsidP="0027101D">
      <w:pPr>
        <w:pStyle w:val="ListParagraph"/>
        <w:numPr>
          <w:ilvl w:val="1"/>
          <w:numId w:val="1"/>
        </w:numPr>
        <w:spacing w:after="120"/>
        <w:contextualSpacing w:val="0"/>
        <w:rPr>
          <w:rFonts w:ascii="Arial" w:hAnsi="Arial" w:cs="Arial"/>
        </w:rPr>
      </w:pPr>
      <w:r>
        <w:rPr>
          <w:rFonts w:ascii="Arial" w:hAnsi="Arial" w:cs="Arial"/>
        </w:rPr>
        <w:t>In Tameside, this can be</w:t>
      </w:r>
      <w:r w:rsidR="00A8026D">
        <w:rPr>
          <w:rFonts w:ascii="Arial" w:hAnsi="Arial" w:cs="Arial"/>
        </w:rPr>
        <w:t xml:space="preserve"> most likely be</w:t>
      </w:r>
      <w:r>
        <w:rPr>
          <w:rFonts w:ascii="Arial" w:hAnsi="Arial" w:cs="Arial"/>
        </w:rPr>
        <w:t xml:space="preserve"> considered as </w:t>
      </w:r>
      <w:r w:rsidR="00DE5CA0">
        <w:rPr>
          <w:rFonts w:ascii="Arial" w:hAnsi="Arial" w:cs="Arial"/>
        </w:rPr>
        <w:t xml:space="preserve">children </w:t>
      </w:r>
      <w:r w:rsidR="00282012">
        <w:rPr>
          <w:rFonts w:ascii="Arial" w:hAnsi="Arial" w:cs="Arial"/>
        </w:rPr>
        <w:t xml:space="preserve">where their behaviour has shown to significantly impact on the learning </w:t>
      </w:r>
      <w:r w:rsidR="008F6B10">
        <w:rPr>
          <w:rFonts w:ascii="Arial" w:hAnsi="Arial" w:cs="Arial"/>
        </w:rPr>
        <w:t>environment, wellbeing and safety of other pupils and staff</w:t>
      </w:r>
      <w:r w:rsidR="007B0956">
        <w:rPr>
          <w:rFonts w:ascii="Arial" w:hAnsi="Arial" w:cs="Arial"/>
        </w:rPr>
        <w:t xml:space="preserve"> over the period of the current academic year.</w:t>
      </w:r>
    </w:p>
    <w:p w14:paraId="0A31ADD6" w14:textId="609569E6" w:rsidR="00374955" w:rsidRPr="0027101D" w:rsidRDefault="00374955" w:rsidP="0027101D">
      <w:pPr>
        <w:pStyle w:val="ListParagraph"/>
        <w:numPr>
          <w:ilvl w:val="1"/>
          <w:numId w:val="1"/>
        </w:numPr>
        <w:spacing w:after="120"/>
        <w:contextualSpacing w:val="0"/>
        <w:rPr>
          <w:rFonts w:ascii="Arial" w:hAnsi="Arial" w:cs="Arial"/>
        </w:rPr>
      </w:pPr>
      <w:r>
        <w:rPr>
          <w:rFonts w:ascii="Arial" w:hAnsi="Arial" w:cs="Arial"/>
        </w:rPr>
        <w:lastRenderedPageBreak/>
        <w:t xml:space="preserve">Poor attendance, </w:t>
      </w:r>
      <w:r w:rsidR="004603E7">
        <w:rPr>
          <w:rFonts w:ascii="Arial" w:hAnsi="Arial" w:cs="Arial"/>
        </w:rPr>
        <w:t xml:space="preserve">special educational needs, </w:t>
      </w:r>
      <w:r w:rsidR="00762A40">
        <w:rPr>
          <w:rFonts w:ascii="Arial" w:hAnsi="Arial" w:cs="Arial"/>
        </w:rPr>
        <w:t>disability, lack of information</w:t>
      </w:r>
      <w:r w:rsidR="008A3B84">
        <w:rPr>
          <w:rFonts w:ascii="Arial" w:hAnsi="Arial" w:cs="Arial"/>
        </w:rPr>
        <w:t xml:space="preserve"> and children returning to school from elective home education </w:t>
      </w:r>
      <w:r w:rsidR="000E3819">
        <w:rPr>
          <w:rFonts w:ascii="Arial" w:hAnsi="Arial" w:cs="Arial"/>
        </w:rPr>
        <w:t xml:space="preserve">should not be grounds for considering that a child displays challenging behaviour. </w:t>
      </w:r>
    </w:p>
    <w:p w14:paraId="77CDD175" w14:textId="77777777" w:rsidR="005060F0" w:rsidRPr="0027101D" w:rsidRDefault="005060F0" w:rsidP="0027101D">
      <w:pPr>
        <w:pStyle w:val="ListParagraph"/>
        <w:numPr>
          <w:ilvl w:val="1"/>
          <w:numId w:val="1"/>
        </w:numPr>
        <w:spacing w:before="120" w:after="120" w:line="288" w:lineRule="auto"/>
        <w:contextualSpacing w:val="0"/>
        <w:rPr>
          <w:rFonts w:ascii="Arial" w:hAnsi="Arial" w:cs="Arial"/>
        </w:rPr>
      </w:pPr>
      <w:r w:rsidRPr="0027101D">
        <w:rPr>
          <w:rFonts w:ascii="Arial" w:hAnsi="Arial" w:cs="Arial"/>
        </w:rPr>
        <w:t xml:space="preserve">The FAP does not apply to looked after children or children with an Education, Health and Care Plan. </w:t>
      </w:r>
    </w:p>
    <w:p w14:paraId="7F9FFADE" w14:textId="0C632C4C" w:rsidR="002C09C9" w:rsidRDefault="002C09C9" w:rsidP="0027101D">
      <w:pPr>
        <w:pStyle w:val="ListParagraph"/>
        <w:numPr>
          <w:ilvl w:val="1"/>
          <w:numId w:val="1"/>
        </w:numPr>
        <w:spacing w:before="120" w:after="120" w:line="288" w:lineRule="auto"/>
        <w:contextualSpacing w:val="0"/>
        <w:rPr>
          <w:rFonts w:ascii="Arial" w:hAnsi="Arial" w:cs="Arial"/>
        </w:rPr>
      </w:pPr>
      <w:r>
        <w:rPr>
          <w:rFonts w:ascii="Arial" w:hAnsi="Arial" w:cs="Arial"/>
        </w:rPr>
        <w:t>Schools in Tameside should share</w:t>
      </w:r>
      <w:r w:rsidR="0037184E">
        <w:rPr>
          <w:rFonts w:ascii="Arial" w:hAnsi="Arial" w:cs="Arial"/>
        </w:rPr>
        <w:t xml:space="preserve"> good quality pupil information </w:t>
      </w:r>
      <w:r w:rsidR="00BB31C2">
        <w:rPr>
          <w:rFonts w:ascii="Arial" w:hAnsi="Arial" w:cs="Arial"/>
        </w:rPr>
        <w:t xml:space="preserve">with each other </w:t>
      </w:r>
      <w:r w:rsidR="0037184E">
        <w:rPr>
          <w:rFonts w:ascii="Arial" w:hAnsi="Arial" w:cs="Arial"/>
        </w:rPr>
        <w:t xml:space="preserve">to facilitate </w:t>
      </w:r>
      <w:r w:rsidR="00F7150D">
        <w:rPr>
          <w:rFonts w:ascii="Arial" w:hAnsi="Arial" w:cs="Arial"/>
        </w:rPr>
        <w:t>pupil transfers and to ensure for better decision-making at IFAPs. Parental consent must be sought before sharing information</w:t>
      </w:r>
      <w:r w:rsidR="0062434F">
        <w:rPr>
          <w:rFonts w:ascii="Arial" w:hAnsi="Arial" w:cs="Arial"/>
        </w:rPr>
        <w:t>.</w:t>
      </w:r>
    </w:p>
    <w:p w14:paraId="17E0ADA6" w14:textId="71C5F1D8" w:rsidR="005060F0" w:rsidRDefault="00BD26C6" w:rsidP="0027101D">
      <w:pPr>
        <w:pStyle w:val="ListParagraph"/>
        <w:numPr>
          <w:ilvl w:val="1"/>
          <w:numId w:val="1"/>
        </w:numPr>
        <w:spacing w:before="120" w:after="120" w:line="288" w:lineRule="auto"/>
        <w:contextualSpacing w:val="0"/>
        <w:rPr>
          <w:rFonts w:ascii="Arial" w:hAnsi="Arial" w:cs="Arial"/>
        </w:rPr>
      </w:pPr>
      <w:r w:rsidRPr="0027101D">
        <w:rPr>
          <w:rFonts w:ascii="Arial" w:hAnsi="Arial" w:cs="Arial"/>
        </w:rPr>
        <w:t xml:space="preserve">A lack of information from a previous school cannot delay the normal admissions process, cannot be a reason for refusing a school place and does not constitute as a reason to refer an application to be considered </w:t>
      </w:r>
      <w:r w:rsidR="009C1161">
        <w:rPr>
          <w:rFonts w:ascii="Arial" w:hAnsi="Arial" w:cs="Arial"/>
        </w:rPr>
        <w:t>at</w:t>
      </w:r>
      <w:r w:rsidRPr="0027101D">
        <w:rPr>
          <w:rFonts w:ascii="Arial" w:hAnsi="Arial" w:cs="Arial"/>
        </w:rPr>
        <w:t xml:space="preserve"> </w:t>
      </w:r>
      <w:r w:rsidR="009C1161">
        <w:rPr>
          <w:rFonts w:ascii="Arial" w:hAnsi="Arial" w:cs="Arial"/>
        </w:rPr>
        <w:t>I</w:t>
      </w:r>
      <w:r w:rsidRPr="0027101D">
        <w:rPr>
          <w:rFonts w:ascii="Arial" w:hAnsi="Arial" w:cs="Arial"/>
        </w:rPr>
        <w:t xml:space="preserve">FAP. </w:t>
      </w:r>
    </w:p>
    <w:p w14:paraId="46098633" w14:textId="2BEEC36A" w:rsidR="00AF0C41" w:rsidRDefault="00AF0C41" w:rsidP="0027101D">
      <w:pPr>
        <w:pStyle w:val="ListParagraph"/>
        <w:numPr>
          <w:ilvl w:val="1"/>
          <w:numId w:val="1"/>
        </w:numPr>
        <w:spacing w:before="120" w:after="120" w:line="288" w:lineRule="auto"/>
        <w:contextualSpacing w:val="0"/>
        <w:rPr>
          <w:rFonts w:ascii="Arial" w:hAnsi="Arial" w:cs="Arial"/>
        </w:rPr>
      </w:pPr>
      <w:r>
        <w:rPr>
          <w:rFonts w:ascii="Arial" w:hAnsi="Arial" w:cs="Arial"/>
        </w:rPr>
        <w:t xml:space="preserve">Where a school is referring an application for consideration at IFAP, they must </w:t>
      </w:r>
      <w:r w:rsidR="00DA603F">
        <w:rPr>
          <w:rFonts w:ascii="Arial" w:hAnsi="Arial" w:cs="Arial"/>
        </w:rPr>
        <w:t xml:space="preserve">indicate which criteria of the FAP they believe the application meets which must be evidenced. This must be done </w:t>
      </w:r>
      <w:r w:rsidR="00B4731C" w:rsidRPr="00AE22C6">
        <w:rPr>
          <w:rFonts w:ascii="Arial" w:hAnsi="Arial" w:cs="Arial"/>
          <w:b/>
          <w:bCs/>
        </w:rPr>
        <w:t>at least 3 school days</w:t>
      </w:r>
      <w:r w:rsidR="00B4731C">
        <w:rPr>
          <w:rFonts w:ascii="Arial" w:hAnsi="Arial" w:cs="Arial"/>
        </w:rPr>
        <w:t xml:space="preserve"> prior to the IFAP. </w:t>
      </w:r>
    </w:p>
    <w:p w14:paraId="3CA0586D" w14:textId="7D62DF96" w:rsidR="00BF3CCA" w:rsidRDefault="00BF3CCA" w:rsidP="0027101D">
      <w:pPr>
        <w:pStyle w:val="ListParagraph"/>
        <w:numPr>
          <w:ilvl w:val="1"/>
          <w:numId w:val="1"/>
        </w:numPr>
        <w:spacing w:before="120" w:after="120" w:line="288" w:lineRule="auto"/>
        <w:contextualSpacing w:val="0"/>
        <w:rPr>
          <w:rFonts w:ascii="Arial" w:hAnsi="Arial" w:cs="Arial"/>
        </w:rPr>
      </w:pPr>
      <w:r>
        <w:rPr>
          <w:rFonts w:ascii="Arial" w:hAnsi="Arial" w:cs="Arial"/>
        </w:rPr>
        <w:t>When an application is referred to FAP but is determined to not meet the</w:t>
      </w:r>
      <w:r w:rsidR="002A3774">
        <w:rPr>
          <w:rFonts w:ascii="Arial" w:hAnsi="Arial" w:cs="Arial"/>
        </w:rPr>
        <w:t xml:space="preserve"> threshold for any of the criteria, the school is notified and will be instructed to make admission arrangements for any child that has been offered a place. </w:t>
      </w:r>
    </w:p>
    <w:p w14:paraId="5C074468" w14:textId="421FED96" w:rsidR="0068402F" w:rsidRDefault="0068402F" w:rsidP="0027101D">
      <w:pPr>
        <w:pStyle w:val="ListParagraph"/>
        <w:numPr>
          <w:ilvl w:val="1"/>
          <w:numId w:val="1"/>
        </w:numPr>
        <w:spacing w:before="120" w:after="120" w:line="288" w:lineRule="auto"/>
        <w:contextualSpacing w:val="0"/>
        <w:rPr>
          <w:rFonts w:ascii="Arial" w:hAnsi="Arial" w:cs="Arial"/>
        </w:rPr>
      </w:pPr>
      <w:r>
        <w:rPr>
          <w:rFonts w:ascii="Arial" w:hAnsi="Arial" w:cs="Arial"/>
        </w:rPr>
        <w:t xml:space="preserve">Applications must be referred to IFAP in a timely manner and within the prescribed processing timescales as set out in the Admissions Code. </w:t>
      </w:r>
    </w:p>
    <w:p w14:paraId="7AE541A7" w14:textId="60727556" w:rsidR="003D22C0" w:rsidRDefault="003D22C0" w:rsidP="0027101D">
      <w:pPr>
        <w:pStyle w:val="ListParagraph"/>
        <w:numPr>
          <w:ilvl w:val="1"/>
          <w:numId w:val="1"/>
        </w:numPr>
        <w:spacing w:before="120" w:after="120" w:line="288" w:lineRule="auto"/>
        <w:contextualSpacing w:val="0"/>
        <w:rPr>
          <w:rFonts w:ascii="Arial" w:hAnsi="Arial" w:cs="Arial"/>
        </w:rPr>
      </w:pPr>
      <w:r>
        <w:rPr>
          <w:rFonts w:ascii="Arial" w:hAnsi="Arial" w:cs="Arial"/>
        </w:rPr>
        <w:t xml:space="preserve">Each school will have a nominated person who is able to provide information </w:t>
      </w:r>
      <w:r w:rsidR="002C7215">
        <w:rPr>
          <w:rFonts w:ascii="Arial" w:hAnsi="Arial" w:cs="Arial"/>
        </w:rPr>
        <w:t xml:space="preserve">on applications in a timely manner. </w:t>
      </w:r>
    </w:p>
    <w:p w14:paraId="189D4F95" w14:textId="1437F7B5" w:rsidR="00E7133C" w:rsidRDefault="00E7133C" w:rsidP="00E7133C">
      <w:pPr>
        <w:pStyle w:val="ListParagraph"/>
        <w:numPr>
          <w:ilvl w:val="1"/>
          <w:numId w:val="1"/>
        </w:numPr>
        <w:rPr>
          <w:rFonts w:ascii="Arial" w:hAnsi="Arial" w:cs="Arial"/>
        </w:rPr>
      </w:pPr>
      <w:r w:rsidRPr="00E7133C">
        <w:rPr>
          <w:rFonts w:ascii="Arial" w:hAnsi="Arial" w:cs="Arial"/>
        </w:rPr>
        <w:t>Where an applicant is refused a place at one of their preferred schools, they will be given the right to appeal this decision.</w:t>
      </w:r>
    </w:p>
    <w:p w14:paraId="0C6931D1" w14:textId="77777777" w:rsidR="00F70F44" w:rsidRPr="00F70F44" w:rsidRDefault="00F70F44" w:rsidP="00F70F44">
      <w:pPr>
        <w:ind w:left="360"/>
        <w:rPr>
          <w:rFonts w:ascii="Arial" w:hAnsi="Arial" w:cs="Arial"/>
        </w:rPr>
      </w:pPr>
    </w:p>
    <w:p w14:paraId="500E32C2" w14:textId="5167540F" w:rsidR="006F4C9F" w:rsidRPr="00E7133C" w:rsidRDefault="00D526D6" w:rsidP="00E7133C">
      <w:pPr>
        <w:pStyle w:val="Heading2"/>
        <w:numPr>
          <w:ilvl w:val="0"/>
          <w:numId w:val="1"/>
        </w:numPr>
        <w:spacing w:after="120"/>
        <w:rPr>
          <w:rFonts w:ascii="Arial" w:hAnsi="Arial" w:cs="Arial"/>
        </w:rPr>
      </w:pPr>
      <w:bookmarkStart w:id="2" w:name="_Toc177374668"/>
      <w:r w:rsidRPr="00E7133C">
        <w:rPr>
          <w:rFonts w:ascii="Arial" w:hAnsi="Arial" w:cs="Arial"/>
        </w:rPr>
        <w:t>IFAP</w:t>
      </w:r>
      <w:bookmarkEnd w:id="2"/>
    </w:p>
    <w:p w14:paraId="178477B2" w14:textId="77777777" w:rsidR="004276DC" w:rsidRPr="004276DC" w:rsidRDefault="004276DC" w:rsidP="004276DC">
      <w:pPr>
        <w:pStyle w:val="ListParagraph"/>
        <w:numPr>
          <w:ilvl w:val="1"/>
          <w:numId w:val="1"/>
        </w:numPr>
        <w:spacing w:after="120"/>
        <w:ind w:left="1077"/>
        <w:contextualSpacing w:val="0"/>
        <w:rPr>
          <w:rFonts w:ascii="Arial" w:hAnsi="Arial" w:cs="Arial"/>
        </w:rPr>
      </w:pPr>
      <w:r w:rsidRPr="004276DC">
        <w:rPr>
          <w:rFonts w:ascii="Arial" w:hAnsi="Arial" w:cs="Arial"/>
        </w:rPr>
        <w:t>To accommodate the above requirements, the IFAP will be held every 15 school days, and all schools must participate.  </w:t>
      </w:r>
    </w:p>
    <w:p w14:paraId="4FF0A09C" w14:textId="77777777" w:rsidR="004276DC" w:rsidRPr="004276DC" w:rsidRDefault="004276DC" w:rsidP="004276DC">
      <w:pPr>
        <w:pStyle w:val="ListParagraph"/>
        <w:numPr>
          <w:ilvl w:val="1"/>
          <w:numId w:val="1"/>
        </w:numPr>
        <w:spacing w:after="120"/>
        <w:ind w:left="1077"/>
        <w:contextualSpacing w:val="0"/>
        <w:rPr>
          <w:rFonts w:ascii="Arial" w:hAnsi="Arial" w:cs="Arial"/>
        </w:rPr>
      </w:pPr>
      <w:r w:rsidRPr="004276DC">
        <w:rPr>
          <w:rFonts w:ascii="Arial" w:hAnsi="Arial" w:cs="Arial"/>
        </w:rPr>
        <w:t>Participation includes making available a representative for the school (usually the Headteacher) who is authorised to participate in discussions, make decisions on placing children, and admitting pupils when asked to do so, even when the school is full.  </w:t>
      </w:r>
    </w:p>
    <w:p w14:paraId="5D4E5C4F" w14:textId="77777777" w:rsidR="004276DC" w:rsidRPr="004276DC" w:rsidRDefault="004276DC" w:rsidP="004276DC">
      <w:pPr>
        <w:pStyle w:val="ListParagraph"/>
        <w:numPr>
          <w:ilvl w:val="1"/>
          <w:numId w:val="1"/>
        </w:numPr>
        <w:spacing w:after="120"/>
        <w:ind w:left="1077"/>
        <w:contextualSpacing w:val="0"/>
        <w:rPr>
          <w:rFonts w:ascii="Arial" w:hAnsi="Arial" w:cs="Arial"/>
        </w:rPr>
      </w:pPr>
      <w:r w:rsidRPr="004276DC">
        <w:rPr>
          <w:rFonts w:ascii="Arial" w:hAnsi="Arial" w:cs="Arial"/>
        </w:rPr>
        <w:t>Participation also means that schools agree that decisions made are binding and must be adhered to. Non-attendance shall not be cited as a reason to subsequently refuse a place to an allocated pupil.    </w:t>
      </w:r>
    </w:p>
    <w:p w14:paraId="22382229" w14:textId="79A43A3F" w:rsidR="004276DC" w:rsidRPr="004276DC" w:rsidRDefault="004276DC" w:rsidP="004276DC">
      <w:pPr>
        <w:pStyle w:val="ListParagraph"/>
        <w:numPr>
          <w:ilvl w:val="1"/>
          <w:numId w:val="1"/>
        </w:numPr>
        <w:spacing w:after="120"/>
        <w:ind w:left="1077"/>
        <w:contextualSpacing w:val="0"/>
        <w:rPr>
          <w:rFonts w:ascii="Arial" w:hAnsi="Arial" w:cs="Arial"/>
        </w:rPr>
      </w:pPr>
      <w:r w:rsidRPr="004276DC">
        <w:rPr>
          <w:rFonts w:ascii="Arial" w:hAnsi="Arial" w:cs="Arial"/>
        </w:rPr>
        <w:t>Schools should provide the attached proforma at the start of each term and the information provided, along with FAP allocations for that academic year, will be used to guide the panel on their decision-making. </w:t>
      </w:r>
    </w:p>
    <w:p w14:paraId="432F8A0C" w14:textId="00B0C608" w:rsidR="000F6678" w:rsidRPr="00E7133C" w:rsidRDefault="00647037" w:rsidP="00414B3C">
      <w:pPr>
        <w:pStyle w:val="ListParagraph"/>
        <w:numPr>
          <w:ilvl w:val="1"/>
          <w:numId w:val="1"/>
        </w:numPr>
        <w:spacing w:after="120"/>
        <w:ind w:left="1077"/>
        <w:contextualSpacing w:val="0"/>
        <w:rPr>
          <w:rFonts w:ascii="Arial" w:hAnsi="Arial" w:cs="Arial"/>
        </w:rPr>
      </w:pPr>
      <w:r w:rsidRPr="00E7133C">
        <w:rPr>
          <w:rFonts w:ascii="Arial" w:hAnsi="Arial" w:cs="Arial"/>
        </w:rPr>
        <w:t xml:space="preserve">Schools are given </w:t>
      </w:r>
      <w:r w:rsidR="001A5A4B" w:rsidRPr="00E7133C">
        <w:rPr>
          <w:rFonts w:ascii="Arial" w:hAnsi="Arial" w:cs="Arial"/>
        </w:rPr>
        <w:t>credits for each category allocated:</w:t>
      </w:r>
    </w:p>
    <w:p w14:paraId="463FC588" w14:textId="65BD985F" w:rsidR="001A5A4B" w:rsidRPr="00E7133C" w:rsidRDefault="001A5A4B" w:rsidP="00E7133C">
      <w:pPr>
        <w:pStyle w:val="ListParagraph"/>
        <w:numPr>
          <w:ilvl w:val="2"/>
          <w:numId w:val="1"/>
        </w:numPr>
        <w:spacing w:after="120"/>
        <w:ind w:left="1843"/>
        <w:contextualSpacing w:val="0"/>
        <w:rPr>
          <w:rFonts w:ascii="Arial" w:hAnsi="Arial" w:cs="Arial"/>
        </w:rPr>
      </w:pPr>
      <w:r w:rsidRPr="00E7133C">
        <w:rPr>
          <w:rFonts w:ascii="Arial" w:hAnsi="Arial" w:cs="Arial"/>
        </w:rPr>
        <w:t xml:space="preserve">Category </w:t>
      </w:r>
      <w:r w:rsidR="00687BE4" w:rsidRPr="00E7133C">
        <w:rPr>
          <w:rFonts w:ascii="Arial" w:hAnsi="Arial" w:cs="Arial"/>
        </w:rPr>
        <w:t>L</w:t>
      </w:r>
      <w:r w:rsidRPr="00E7133C">
        <w:rPr>
          <w:rFonts w:ascii="Arial" w:hAnsi="Arial" w:cs="Arial"/>
        </w:rPr>
        <w:t xml:space="preserve"> – 1 credit</w:t>
      </w:r>
    </w:p>
    <w:p w14:paraId="788FA5E5" w14:textId="4776A833" w:rsidR="001A5A4B" w:rsidRPr="00E7133C" w:rsidRDefault="00687BE4" w:rsidP="00E7133C">
      <w:pPr>
        <w:pStyle w:val="ListParagraph"/>
        <w:numPr>
          <w:ilvl w:val="2"/>
          <w:numId w:val="1"/>
        </w:numPr>
        <w:spacing w:after="120"/>
        <w:ind w:left="1843"/>
        <w:contextualSpacing w:val="0"/>
        <w:rPr>
          <w:rFonts w:ascii="Arial" w:hAnsi="Arial" w:cs="Arial"/>
        </w:rPr>
      </w:pPr>
      <w:r w:rsidRPr="00E7133C">
        <w:rPr>
          <w:rFonts w:ascii="Arial" w:hAnsi="Arial" w:cs="Arial"/>
        </w:rPr>
        <w:t xml:space="preserve">All categories except </w:t>
      </w:r>
      <w:r w:rsidR="001B7AF5">
        <w:rPr>
          <w:rFonts w:ascii="Arial" w:hAnsi="Arial" w:cs="Arial"/>
        </w:rPr>
        <w:t xml:space="preserve">D, </w:t>
      </w:r>
      <w:r w:rsidRPr="00E7133C">
        <w:rPr>
          <w:rFonts w:ascii="Arial" w:hAnsi="Arial" w:cs="Arial"/>
        </w:rPr>
        <w:t>L and J – 2 credits</w:t>
      </w:r>
    </w:p>
    <w:p w14:paraId="3B9E65F3" w14:textId="265B577F" w:rsidR="00687BE4" w:rsidRPr="00E7133C" w:rsidRDefault="00687BE4" w:rsidP="00E7133C">
      <w:pPr>
        <w:pStyle w:val="ListParagraph"/>
        <w:numPr>
          <w:ilvl w:val="2"/>
          <w:numId w:val="1"/>
        </w:numPr>
        <w:spacing w:after="120"/>
        <w:ind w:left="1843"/>
        <w:contextualSpacing w:val="0"/>
        <w:rPr>
          <w:rFonts w:ascii="Arial" w:hAnsi="Arial" w:cs="Arial"/>
        </w:rPr>
      </w:pPr>
      <w:r w:rsidRPr="00E7133C">
        <w:rPr>
          <w:rFonts w:ascii="Arial" w:hAnsi="Arial" w:cs="Arial"/>
        </w:rPr>
        <w:t>Categor</w:t>
      </w:r>
      <w:r w:rsidR="001B7AF5">
        <w:rPr>
          <w:rFonts w:ascii="Arial" w:hAnsi="Arial" w:cs="Arial"/>
        </w:rPr>
        <w:t xml:space="preserve">ies D &amp; </w:t>
      </w:r>
      <w:r w:rsidRPr="00E7133C">
        <w:rPr>
          <w:rFonts w:ascii="Arial" w:hAnsi="Arial" w:cs="Arial"/>
        </w:rPr>
        <w:t xml:space="preserve">J – 3 credits </w:t>
      </w:r>
    </w:p>
    <w:p w14:paraId="21786809" w14:textId="3CE28825" w:rsidR="00C223D1" w:rsidRPr="00E7133C" w:rsidRDefault="009341B9" w:rsidP="00E7133C">
      <w:pPr>
        <w:pStyle w:val="ListParagraph"/>
        <w:numPr>
          <w:ilvl w:val="1"/>
          <w:numId w:val="1"/>
        </w:numPr>
        <w:spacing w:after="120"/>
        <w:contextualSpacing w:val="0"/>
        <w:rPr>
          <w:rFonts w:ascii="Arial" w:hAnsi="Arial" w:cs="Arial"/>
        </w:rPr>
      </w:pPr>
      <w:r w:rsidRPr="00E7133C">
        <w:rPr>
          <w:rFonts w:ascii="Arial" w:hAnsi="Arial" w:cs="Arial"/>
        </w:rPr>
        <w:lastRenderedPageBreak/>
        <w:t>The school with the highest number of credits will be considered to have admitted a disproportionate number of pupils</w:t>
      </w:r>
      <w:r w:rsidR="00424295" w:rsidRPr="00E7133C">
        <w:rPr>
          <w:rFonts w:ascii="Arial" w:hAnsi="Arial" w:cs="Arial"/>
        </w:rPr>
        <w:t xml:space="preserve">. </w:t>
      </w:r>
      <w:r w:rsidR="004B44DB" w:rsidRPr="00E7133C">
        <w:rPr>
          <w:rFonts w:ascii="Arial" w:hAnsi="Arial" w:cs="Arial"/>
        </w:rPr>
        <w:t xml:space="preserve">No school should be asked to take a disproportionate number of children who meet the FAP criteria, including schools with places available. </w:t>
      </w:r>
    </w:p>
    <w:p w14:paraId="18D2B9A1" w14:textId="6A400266" w:rsidR="00E34354" w:rsidRPr="00E7133C" w:rsidRDefault="00E34354" w:rsidP="00E7133C">
      <w:pPr>
        <w:pStyle w:val="ListParagraph"/>
        <w:numPr>
          <w:ilvl w:val="1"/>
          <w:numId w:val="1"/>
        </w:numPr>
        <w:spacing w:after="120"/>
        <w:contextualSpacing w:val="0"/>
        <w:rPr>
          <w:rFonts w:ascii="Arial" w:hAnsi="Arial" w:cs="Arial"/>
        </w:rPr>
      </w:pPr>
      <w:r w:rsidRPr="00E7133C">
        <w:rPr>
          <w:rFonts w:ascii="Arial" w:hAnsi="Arial" w:cs="Arial"/>
        </w:rPr>
        <w:t>If the panel cannot determine which school the pupil will be allocated</w:t>
      </w:r>
      <w:r w:rsidR="00BA0872" w:rsidRPr="00E7133C">
        <w:rPr>
          <w:rFonts w:ascii="Arial" w:hAnsi="Arial" w:cs="Arial"/>
        </w:rPr>
        <w:t xml:space="preserve"> the chair and the LA representative will determine at the end of the meeting, based on the circumstances of the case and the schools’ information and summary of allocations for that academic year, which school to allocate. This decision is binding.</w:t>
      </w:r>
    </w:p>
    <w:p w14:paraId="3E59E558" w14:textId="536043B1" w:rsidR="00EE260B" w:rsidRDefault="00EE260B" w:rsidP="00E7133C">
      <w:pPr>
        <w:pStyle w:val="ListParagraph"/>
        <w:numPr>
          <w:ilvl w:val="1"/>
          <w:numId w:val="1"/>
        </w:numPr>
        <w:spacing w:after="120"/>
        <w:contextualSpacing w:val="0"/>
        <w:rPr>
          <w:rFonts w:ascii="Arial" w:hAnsi="Arial" w:cs="Arial"/>
        </w:rPr>
      </w:pPr>
      <w:r w:rsidRPr="00E7133C">
        <w:rPr>
          <w:rFonts w:ascii="Arial" w:hAnsi="Arial" w:cs="Arial"/>
        </w:rPr>
        <w:t xml:space="preserve">IFAP decisions will be </w:t>
      </w:r>
      <w:r w:rsidR="00D504AC" w:rsidRPr="00E7133C">
        <w:rPr>
          <w:rFonts w:ascii="Arial" w:hAnsi="Arial" w:cs="Arial"/>
        </w:rPr>
        <w:t>recorded,</w:t>
      </w:r>
      <w:r w:rsidRPr="00E7133C">
        <w:rPr>
          <w:rFonts w:ascii="Arial" w:hAnsi="Arial" w:cs="Arial"/>
        </w:rPr>
        <w:t xml:space="preserve"> and schools are expected to </w:t>
      </w:r>
      <w:r w:rsidR="00B00D2A" w:rsidRPr="00E7133C">
        <w:rPr>
          <w:rFonts w:ascii="Arial" w:hAnsi="Arial" w:cs="Arial"/>
        </w:rPr>
        <w:t xml:space="preserve">arrange admission for any children allocated to them without unnecessary delay. </w:t>
      </w:r>
    </w:p>
    <w:p w14:paraId="1D563A11" w14:textId="77777777" w:rsidR="00F70F44" w:rsidRPr="00F70F44" w:rsidRDefault="00F70F44" w:rsidP="00F70F44">
      <w:pPr>
        <w:spacing w:after="120"/>
        <w:ind w:left="360"/>
        <w:rPr>
          <w:rFonts w:ascii="Arial" w:hAnsi="Arial" w:cs="Arial"/>
        </w:rPr>
      </w:pPr>
    </w:p>
    <w:p w14:paraId="34CA115B" w14:textId="271FD22A" w:rsidR="0012147F" w:rsidRPr="00E92524" w:rsidRDefault="0012147F" w:rsidP="00E92524">
      <w:pPr>
        <w:pStyle w:val="Heading2"/>
        <w:numPr>
          <w:ilvl w:val="0"/>
          <w:numId w:val="1"/>
        </w:numPr>
        <w:spacing w:after="120"/>
        <w:rPr>
          <w:rFonts w:ascii="Arial" w:hAnsi="Arial" w:cs="Arial"/>
        </w:rPr>
      </w:pPr>
      <w:bookmarkStart w:id="3" w:name="_Toc177374669"/>
      <w:r w:rsidRPr="00E92524">
        <w:rPr>
          <w:rFonts w:ascii="Arial" w:hAnsi="Arial" w:cs="Arial"/>
        </w:rPr>
        <w:t xml:space="preserve">Reintegration of pupils from the </w:t>
      </w:r>
      <w:r w:rsidR="00733677" w:rsidRPr="00E92524">
        <w:rPr>
          <w:rFonts w:ascii="Arial" w:hAnsi="Arial" w:cs="Arial"/>
        </w:rPr>
        <w:t xml:space="preserve">Tameside </w:t>
      </w:r>
      <w:r w:rsidRPr="00E92524">
        <w:rPr>
          <w:rFonts w:ascii="Arial" w:hAnsi="Arial" w:cs="Arial"/>
        </w:rPr>
        <w:t>Pupil Referral Service</w:t>
      </w:r>
      <w:r w:rsidR="00B06851" w:rsidRPr="00E92524">
        <w:rPr>
          <w:rFonts w:ascii="Arial" w:hAnsi="Arial" w:cs="Arial"/>
        </w:rPr>
        <w:t xml:space="preserve"> (</w:t>
      </w:r>
      <w:r w:rsidR="00733677" w:rsidRPr="00E92524">
        <w:rPr>
          <w:rFonts w:ascii="Arial" w:hAnsi="Arial" w:cs="Arial"/>
        </w:rPr>
        <w:t>T</w:t>
      </w:r>
      <w:r w:rsidR="00B06851" w:rsidRPr="00E92524">
        <w:rPr>
          <w:rFonts w:ascii="Arial" w:hAnsi="Arial" w:cs="Arial"/>
        </w:rPr>
        <w:t>PRS)</w:t>
      </w:r>
      <w:bookmarkEnd w:id="3"/>
    </w:p>
    <w:p w14:paraId="6C52E034" w14:textId="60617C3E" w:rsidR="005A5170" w:rsidRPr="00E92524" w:rsidRDefault="00AC066E" w:rsidP="00E92524">
      <w:pPr>
        <w:pStyle w:val="ListParagraph"/>
        <w:numPr>
          <w:ilvl w:val="1"/>
          <w:numId w:val="1"/>
        </w:numPr>
        <w:spacing w:after="120"/>
        <w:contextualSpacing w:val="0"/>
        <w:rPr>
          <w:rFonts w:ascii="Arial" w:hAnsi="Arial" w:cs="Arial"/>
        </w:rPr>
      </w:pPr>
      <w:r w:rsidRPr="00E92524">
        <w:rPr>
          <w:rFonts w:ascii="Arial" w:hAnsi="Arial" w:cs="Arial"/>
        </w:rPr>
        <w:t>When there is evidence of progress indicating readiness to return to mainstream school</w:t>
      </w:r>
      <w:r w:rsidR="007A2F33" w:rsidRPr="00E92524">
        <w:rPr>
          <w:rFonts w:ascii="Arial" w:hAnsi="Arial" w:cs="Arial"/>
        </w:rPr>
        <w:t>,</w:t>
      </w:r>
      <w:r w:rsidRPr="00E92524">
        <w:rPr>
          <w:rFonts w:ascii="Arial" w:hAnsi="Arial" w:cs="Arial"/>
        </w:rPr>
        <w:t xml:space="preserve"> </w:t>
      </w:r>
      <w:r w:rsidR="007A2F33" w:rsidRPr="00E92524">
        <w:rPr>
          <w:rFonts w:ascii="Arial" w:hAnsi="Arial" w:cs="Arial"/>
        </w:rPr>
        <w:t xml:space="preserve">the </w:t>
      </w:r>
      <w:r w:rsidR="00604EF9" w:rsidRPr="00E92524">
        <w:rPr>
          <w:rFonts w:ascii="Arial" w:hAnsi="Arial" w:cs="Arial"/>
        </w:rPr>
        <w:t>T</w:t>
      </w:r>
      <w:r w:rsidRPr="00E92524">
        <w:rPr>
          <w:rFonts w:ascii="Arial" w:hAnsi="Arial" w:cs="Arial"/>
        </w:rPr>
        <w:t xml:space="preserve">PRS will discuss school options with the </w:t>
      </w:r>
      <w:r w:rsidR="007A2F33" w:rsidRPr="00E92524">
        <w:rPr>
          <w:rFonts w:ascii="Arial" w:hAnsi="Arial" w:cs="Arial"/>
        </w:rPr>
        <w:t>child</w:t>
      </w:r>
      <w:r w:rsidRPr="00E92524">
        <w:rPr>
          <w:rFonts w:ascii="Arial" w:hAnsi="Arial" w:cs="Arial"/>
        </w:rPr>
        <w:t xml:space="preserve"> and </w:t>
      </w:r>
      <w:r w:rsidR="005A5170" w:rsidRPr="00E92524">
        <w:rPr>
          <w:rFonts w:ascii="Arial" w:hAnsi="Arial" w:cs="Arial"/>
        </w:rPr>
        <w:t>parents and</w:t>
      </w:r>
      <w:r w:rsidRPr="00E92524">
        <w:rPr>
          <w:rFonts w:ascii="Arial" w:hAnsi="Arial" w:cs="Arial"/>
        </w:rPr>
        <w:t xml:space="preserve"> will offer preference advice. </w:t>
      </w:r>
    </w:p>
    <w:p w14:paraId="0661AB74" w14:textId="0022029A" w:rsidR="000B78C9" w:rsidRPr="00E92524" w:rsidRDefault="005A5170" w:rsidP="00E92524">
      <w:pPr>
        <w:pStyle w:val="ListParagraph"/>
        <w:numPr>
          <w:ilvl w:val="1"/>
          <w:numId w:val="1"/>
        </w:numPr>
        <w:spacing w:after="120"/>
        <w:contextualSpacing w:val="0"/>
        <w:rPr>
          <w:rFonts w:ascii="Arial" w:hAnsi="Arial" w:cs="Arial"/>
        </w:rPr>
      </w:pPr>
      <w:r w:rsidRPr="00E92524">
        <w:rPr>
          <w:rFonts w:ascii="Arial" w:hAnsi="Arial" w:cs="Arial"/>
        </w:rPr>
        <w:t>Based on</w:t>
      </w:r>
      <w:r w:rsidR="00AC066E" w:rsidRPr="00E92524">
        <w:rPr>
          <w:rFonts w:ascii="Arial" w:hAnsi="Arial" w:cs="Arial"/>
        </w:rPr>
        <w:t xml:space="preserve"> parental preference, previous </w:t>
      </w:r>
      <w:r w:rsidR="00733677" w:rsidRPr="00E92524">
        <w:rPr>
          <w:rFonts w:ascii="Arial" w:hAnsi="Arial" w:cs="Arial"/>
        </w:rPr>
        <w:t>fair access</w:t>
      </w:r>
      <w:r w:rsidR="00AC066E" w:rsidRPr="00E92524">
        <w:rPr>
          <w:rFonts w:ascii="Arial" w:hAnsi="Arial" w:cs="Arial"/>
        </w:rPr>
        <w:t xml:space="preserve"> pupil allocations, geography, transport, and known associations that may hinder success</w:t>
      </w:r>
      <w:r w:rsidRPr="00E92524">
        <w:rPr>
          <w:rFonts w:ascii="Arial" w:hAnsi="Arial" w:cs="Arial"/>
        </w:rPr>
        <w:t xml:space="preserve">, the </w:t>
      </w:r>
      <w:r w:rsidR="004F4C1C">
        <w:rPr>
          <w:rFonts w:ascii="Arial" w:hAnsi="Arial" w:cs="Arial"/>
        </w:rPr>
        <w:t>T</w:t>
      </w:r>
      <w:r w:rsidR="00AC066E" w:rsidRPr="00E92524">
        <w:rPr>
          <w:rFonts w:ascii="Arial" w:hAnsi="Arial" w:cs="Arial"/>
        </w:rPr>
        <w:t xml:space="preserve">PRS </w:t>
      </w:r>
      <w:r w:rsidRPr="00E92524">
        <w:rPr>
          <w:rFonts w:ascii="Arial" w:hAnsi="Arial" w:cs="Arial"/>
        </w:rPr>
        <w:t>will determine and appropriate school</w:t>
      </w:r>
      <w:r w:rsidR="00CB2A2B" w:rsidRPr="00E92524">
        <w:rPr>
          <w:rFonts w:ascii="Arial" w:hAnsi="Arial" w:cs="Arial"/>
        </w:rPr>
        <w:t xml:space="preserve"> to approach with the intention to allocate</w:t>
      </w:r>
      <w:r w:rsidR="000B78C9" w:rsidRPr="00E92524">
        <w:rPr>
          <w:rFonts w:ascii="Arial" w:hAnsi="Arial" w:cs="Arial"/>
        </w:rPr>
        <w:t xml:space="preserve"> and provide pupil information. </w:t>
      </w:r>
    </w:p>
    <w:p w14:paraId="7D82292B" w14:textId="75A627FF" w:rsidR="0012147F" w:rsidRPr="00E92524" w:rsidRDefault="00E7629D" w:rsidP="00E92524">
      <w:pPr>
        <w:pStyle w:val="ListParagraph"/>
        <w:numPr>
          <w:ilvl w:val="1"/>
          <w:numId w:val="1"/>
        </w:numPr>
        <w:spacing w:after="120"/>
        <w:contextualSpacing w:val="0"/>
        <w:rPr>
          <w:rFonts w:ascii="Arial" w:hAnsi="Arial" w:cs="Arial"/>
        </w:rPr>
      </w:pPr>
      <w:r w:rsidRPr="00E92524">
        <w:rPr>
          <w:rFonts w:ascii="Arial" w:hAnsi="Arial" w:cs="Arial"/>
        </w:rPr>
        <w:t xml:space="preserve">The requested school will discuss the suitability of the placement with the </w:t>
      </w:r>
      <w:r w:rsidR="00733677" w:rsidRPr="00E92524">
        <w:rPr>
          <w:rFonts w:ascii="Arial" w:hAnsi="Arial" w:cs="Arial"/>
        </w:rPr>
        <w:t>T</w:t>
      </w:r>
      <w:r w:rsidRPr="00E92524">
        <w:rPr>
          <w:rFonts w:ascii="Arial" w:hAnsi="Arial" w:cs="Arial"/>
        </w:rPr>
        <w:t xml:space="preserve">PRS within 2 working days from receipt of the information. If the school believes the placement is not suitable, the </w:t>
      </w:r>
      <w:r w:rsidR="00842E5E" w:rsidRPr="00E92524">
        <w:rPr>
          <w:rFonts w:ascii="Arial" w:hAnsi="Arial" w:cs="Arial"/>
        </w:rPr>
        <w:t xml:space="preserve">pupil is referred to be considered at the next IFAP. </w:t>
      </w:r>
    </w:p>
    <w:p w14:paraId="265DB71C" w14:textId="16E83BFB" w:rsidR="00FE305D" w:rsidRPr="00E92524" w:rsidRDefault="00FE305D" w:rsidP="00E92524">
      <w:pPr>
        <w:pStyle w:val="ListParagraph"/>
        <w:numPr>
          <w:ilvl w:val="1"/>
          <w:numId w:val="1"/>
        </w:numPr>
        <w:spacing w:after="120"/>
        <w:contextualSpacing w:val="0"/>
        <w:rPr>
          <w:rFonts w:ascii="Arial" w:hAnsi="Arial" w:cs="Arial"/>
        </w:rPr>
      </w:pPr>
      <w:r w:rsidRPr="00E92524">
        <w:rPr>
          <w:rFonts w:ascii="Arial" w:hAnsi="Arial" w:cs="Arial"/>
        </w:rPr>
        <w:t xml:space="preserve">Once a placement start date is agreed the pupil will be dual registered with the </w:t>
      </w:r>
      <w:r w:rsidR="00604EF9" w:rsidRPr="00E92524">
        <w:rPr>
          <w:rFonts w:ascii="Arial" w:hAnsi="Arial" w:cs="Arial"/>
        </w:rPr>
        <w:t>T</w:t>
      </w:r>
      <w:r w:rsidRPr="00E92524">
        <w:rPr>
          <w:rFonts w:ascii="Arial" w:hAnsi="Arial" w:cs="Arial"/>
        </w:rPr>
        <w:t xml:space="preserve">PRS as the MAIN school and the placement school as the SUBSIDIARY. </w:t>
      </w:r>
    </w:p>
    <w:p w14:paraId="32813C19" w14:textId="1AC652EC" w:rsidR="0016706B" w:rsidRPr="00E92524" w:rsidRDefault="0016706B" w:rsidP="00E92524">
      <w:pPr>
        <w:pStyle w:val="ListParagraph"/>
        <w:numPr>
          <w:ilvl w:val="1"/>
          <w:numId w:val="1"/>
        </w:numPr>
        <w:spacing w:after="120"/>
        <w:contextualSpacing w:val="0"/>
        <w:rPr>
          <w:rFonts w:ascii="Arial" w:hAnsi="Arial" w:cs="Arial"/>
        </w:rPr>
      </w:pPr>
      <w:r w:rsidRPr="00E92524">
        <w:rPr>
          <w:rFonts w:ascii="Arial" w:hAnsi="Arial" w:cs="Arial"/>
        </w:rPr>
        <w:t>A meeting for the student and family must be arranged within 5 working days of the agreement</w:t>
      </w:r>
      <w:r w:rsidR="00F71502" w:rsidRPr="00E92524">
        <w:rPr>
          <w:rFonts w:ascii="Arial" w:hAnsi="Arial" w:cs="Arial"/>
        </w:rPr>
        <w:t xml:space="preserve"> and will follow the reintegration script guidelines and will determine:</w:t>
      </w:r>
    </w:p>
    <w:p w14:paraId="54DEA831" w14:textId="77777777" w:rsidR="005B3355" w:rsidRPr="005B3355" w:rsidRDefault="005B3355" w:rsidP="00E92524">
      <w:pPr>
        <w:pStyle w:val="ListParagraph"/>
        <w:numPr>
          <w:ilvl w:val="2"/>
          <w:numId w:val="1"/>
        </w:numPr>
        <w:spacing w:after="120"/>
        <w:ind w:left="1701"/>
        <w:contextualSpacing w:val="0"/>
        <w:rPr>
          <w:rFonts w:ascii="Arial" w:hAnsi="Arial" w:cs="Arial"/>
        </w:rPr>
      </w:pPr>
      <w:r w:rsidRPr="005B3355">
        <w:rPr>
          <w:rFonts w:ascii="Arial" w:hAnsi="Arial" w:cs="Arial"/>
        </w:rPr>
        <w:t>Agreed Start Date </w:t>
      </w:r>
    </w:p>
    <w:p w14:paraId="7CE73CB5" w14:textId="77777777" w:rsidR="005B3355" w:rsidRPr="005B3355" w:rsidRDefault="005B3355" w:rsidP="00E92524">
      <w:pPr>
        <w:pStyle w:val="ListParagraph"/>
        <w:numPr>
          <w:ilvl w:val="2"/>
          <w:numId w:val="1"/>
        </w:numPr>
        <w:spacing w:after="120"/>
        <w:ind w:left="1701"/>
        <w:contextualSpacing w:val="0"/>
        <w:rPr>
          <w:rFonts w:ascii="Arial" w:hAnsi="Arial" w:cs="Arial"/>
        </w:rPr>
      </w:pPr>
      <w:r w:rsidRPr="005B3355">
        <w:rPr>
          <w:rFonts w:ascii="Arial" w:hAnsi="Arial" w:cs="Arial"/>
        </w:rPr>
        <w:t>Flexible timetable details </w:t>
      </w:r>
    </w:p>
    <w:p w14:paraId="4E10F4F2" w14:textId="77777777" w:rsidR="005B3355" w:rsidRPr="005B3355" w:rsidRDefault="005B3355" w:rsidP="00E92524">
      <w:pPr>
        <w:pStyle w:val="ListParagraph"/>
        <w:numPr>
          <w:ilvl w:val="2"/>
          <w:numId w:val="1"/>
        </w:numPr>
        <w:spacing w:after="120"/>
        <w:ind w:left="1701"/>
        <w:contextualSpacing w:val="0"/>
        <w:rPr>
          <w:rFonts w:ascii="Arial" w:hAnsi="Arial" w:cs="Arial"/>
        </w:rPr>
      </w:pPr>
      <w:r w:rsidRPr="005B3355">
        <w:rPr>
          <w:rFonts w:ascii="Arial" w:hAnsi="Arial" w:cs="Arial"/>
        </w:rPr>
        <w:t>Examination arrangements </w:t>
      </w:r>
    </w:p>
    <w:p w14:paraId="7B91D83A" w14:textId="77777777" w:rsidR="005B3355" w:rsidRPr="005B3355" w:rsidRDefault="005B3355" w:rsidP="00E92524">
      <w:pPr>
        <w:pStyle w:val="ListParagraph"/>
        <w:numPr>
          <w:ilvl w:val="2"/>
          <w:numId w:val="1"/>
        </w:numPr>
        <w:spacing w:after="120"/>
        <w:ind w:left="1701"/>
        <w:contextualSpacing w:val="0"/>
        <w:rPr>
          <w:rFonts w:ascii="Arial" w:hAnsi="Arial" w:cs="Arial"/>
        </w:rPr>
      </w:pPr>
      <w:r w:rsidRPr="005B3355">
        <w:rPr>
          <w:rFonts w:ascii="Arial" w:hAnsi="Arial" w:cs="Arial"/>
        </w:rPr>
        <w:t>Details of learning needs / SEND information /useful strategies for support </w:t>
      </w:r>
    </w:p>
    <w:p w14:paraId="252133FD" w14:textId="77777777" w:rsidR="005B3355" w:rsidRPr="005B3355" w:rsidRDefault="005B3355" w:rsidP="00E92524">
      <w:pPr>
        <w:pStyle w:val="ListParagraph"/>
        <w:numPr>
          <w:ilvl w:val="2"/>
          <w:numId w:val="1"/>
        </w:numPr>
        <w:spacing w:after="120"/>
        <w:ind w:left="1701"/>
        <w:contextualSpacing w:val="0"/>
        <w:rPr>
          <w:rFonts w:ascii="Arial" w:hAnsi="Arial" w:cs="Arial"/>
        </w:rPr>
      </w:pPr>
      <w:r w:rsidRPr="005B3355">
        <w:rPr>
          <w:rFonts w:ascii="Arial" w:hAnsi="Arial" w:cs="Arial"/>
        </w:rPr>
        <w:t>Medical information sharing </w:t>
      </w:r>
    </w:p>
    <w:p w14:paraId="05D441C3" w14:textId="77777777" w:rsidR="005B3355" w:rsidRPr="005B3355" w:rsidRDefault="005B3355" w:rsidP="00E92524">
      <w:pPr>
        <w:pStyle w:val="ListParagraph"/>
        <w:numPr>
          <w:ilvl w:val="2"/>
          <w:numId w:val="1"/>
        </w:numPr>
        <w:spacing w:after="120"/>
        <w:ind w:left="1701"/>
        <w:contextualSpacing w:val="0"/>
        <w:rPr>
          <w:rFonts w:ascii="Arial" w:hAnsi="Arial" w:cs="Arial"/>
        </w:rPr>
      </w:pPr>
      <w:r w:rsidRPr="005B3355">
        <w:rPr>
          <w:rFonts w:ascii="Arial" w:hAnsi="Arial" w:cs="Arial"/>
        </w:rPr>
        <w:t>Details of other agencies currently involved with the family </w:t>
      </w:r>
    </w:p>
    <w:p w14:paraId="3D00D067" w14:textId="5FE7E62B" w:rsidR="00F71502" w:rsidRPr="00E92524" w:rsidRDefault="005B3355" w:rsidP="00E92524">
      <w:pPr>
        <w:pStyle w:val="ListParagraph"/>
        <w:numPr>
          <w:ilvl w:val="2"/>
          <w:numId w:val="1"/>
        </w:numPr>
        <w:spacing w:after="120"/>
        <w:ind w:left="1701"/>
        <w:contextualSpacing w:val="0"/>
        <w:rPr>
          <w:rFonts w:ascii="Arial" w:hAnsi="Arial" w:cs="Arial"/>
        </w:rPr>
      </w:pPr>
      <w:r w:rsidRPr="005B3355">
        <w:rPr>
          <w:rFonts w:ascii="Arial" w:hAnsi="Arial" w:cs="Arial"/>
        </w:rPr>
        <w:t xml:space="preserve">Review dates for the </w:t>
      </w:r>
      <w:proofErr w:type="gramStart"/>
      <w:r w:rsidRPr="005B3355">
        <w:rPr>
          <w:rFonts w:ascii="Arial" w:hAnsi="Arial" w:cs="Arial"/>
        </w:rPr>
        <w:t>4,</w:t>
      </w:r>
      <w:r w:rsidRPr="00E92524">
        <w:rPr>
          <w:rFonts w:ascii="Arial" w:hAnsi="Arial" w:cs="Arial"/>
        </w:rPr>
        <w:t xml:space="preserve"> </w:t>
      </w:r>
      <w:r w:rsidRPr="005B3355">
        <w:rPr>
          <w:rFonts w:ascii="Arial" w:hAnsi="Arial" w:cs="Arial"/>
        </w:rPr>
        <w:t>8 and 12 week</w:t>
      </w:r>
      <w:proofErr w:type="gramEnd"/>
      <w:r w:rsidRPr="005B3355">
        <w:rPr>
          <w:rFonts w:ascii="Arial" w:hAnsi="Arial" w:cs="Arial"/>
        </w:rPr>
        <w:t xml:space="preserve"> reviews</w:t>
      </w:r>
    </w:p>
    <w:p w14:paraId="6CCAB704" w14:textId="7002D0A9" w:rsidR="005B3355" w:rsidRPr="00E92524" w:rsidRDefault="00E83773" w:rsidP="00E92524">
      <w:pPr>
        <w:pStyle w:val="ListParagraph"/>
        <w:numPr>
          <w:ilvl w:val="1"/>
          <w:numId w:val="1"/>
        </w:numPr>
        <w:spacing w:after="120"/>
        <w:contextualSpacing w:val="0"/>
        <w:rPr>
          <w:rFonts w:ascii="Arial" w:hAnsi="Arial" w:cs="Arial"/>
        </w:rPr>
      </w:pPr>
      <w:r w:rsidRPr="00E92524">
        <w:rPr>
          <w:rFonts w:ascii="Arial" w:hAnsi="Arial" w:cs="Arial"/>
        </w:rPr>
        <w:t>The student will start at their new school within 2 working weeks of the placement agreement.</w:t>
      </w:r>
    </w:p>
    <w:p w14:paraId="5E71F2F7" w14:textId="4D6AB4DB" w:rsidR="00E83773" w:rsidRPr="00E92524" w:rsidRDefault="002F39DB" w:rsidP="00E92524">
      <w:pPr>
        <w:pStyle w:val="ListParagraph"/>
        <w:numPr>
          <w:ilvl w:val="1"/>
          <w:numId w:val="1"/>
        </w:numPr>
        <w:spacing w:after="120"/>
        <w:contextualSpacing w:val="0"/>
        <w:rPr>
          <w:rFonts w:ascii="Arial" w:hAnsi="Arial" w:cs="Arial"/>
        </w:rPr>
      </w:pPr>
      <w:r w:rsidRPr="00E92524">
        <w:rPr>
          <w:rFonts w:ascii="Arial" w:hAnsi="Arial" w:cs="Arial"/>
        </w:rPr>
        <w:t xml:space="preserve">School review meetings will be held at 4, 8 and 12 working weeks. The mainstream school will arrange the review meetings. Representatives from the school, the pupil, their family and TPRS will attend. </w:t>
      </w:r>
    </w:p>
    <w:p w14:paraId="4A274D00" w14:textId="2F962302" w:rsidR="00B72F4F" w:rsidRPr="00E92524" w:rsidRDefault="00B72F4F" w:rsidP="00E92524">
      <w:pPr>
        <w:pStyle w:val="ListParagraph"/>
        <w:numPr>
          <w:ilvl w:val="1"/>
          <w:numId w:val="1"/>
        </w:numPr>
        <w:spacing w:after="120"/>
        <w:contextualSpacing w:val="0"/>
        <w:rPr>
          <w:rFonts w:ascii="Arial" w:hAnsi="Arial" w:cs="Arial"/>
        </w:rPr>
      </w:pPr>
      <w:r w:rsidRPr="00E92524">
        <w:rPr>
          <w:rFonts w:ascii="Arial" w:hAnsi="Arial" w:cs="Arial"/>
        </w:rPr>
        <w:t xml:space="preserve">Following a successful 12-week school review meeting TPRS will take Key Stage 3 students off roll and the student will become single registered at the </w:t>
      </w:r>
      <w:r w:rsidRPr="00E92524">
        <w:rPr>
          <w:rFonts w:ascii="Arial" w:hAnsi="Arial" w:cs="Arial"/>
        </w:rPr>
        <w:lastRenderedPageBreak/>
        <w:t>mainstream school. Key Stage 4 pupils (i.e., Y10 &amp; Y11) remain dual registered until the end of Year 11. For KS4 students who remain dual registered with TPRS, attendance will continue to be monitored by both the mainstream school and TPRS. TPRS will gather attendance data half termly along with details of any action taken for poor attendance. This information must be freely available to TPRS. TPRS will also claim dual registered student’s examination results. This information should be shared with TPRS as soon as possible.</w:t>
      </w:r>
    </w:p>
    <w:p w14:paraId="1EDF4CB8" w14:textId="02923E6A" w:rsidR="006215C9" w:rsidRPr="00E92524" w:rsidRDefault="006215C9" w:rsidP="00E92524">
      <w:pPr>
        <w:pStyle w:val="ListParagraph"/>
        <w:numPr>
          <w:ilvl w:val="1"/>
          <w:numId w:val="1"/>
        </w:numPr>
        <w:spacing w:after="120"/>
        <w:contextualSpacing w:val="0"/>
        <w:rPr>
          <w:rFonts w:ascii="Arial" w:hAnsi="Arial" w:cs="Arial"/>
        </w:rPr>
      </w:pPr>
      <w:r w:rsidRPr="00E92524">
        <w:rPr>
          <w:rFonts w:ascii="Arial" w:hAnsi="Arial" w:cs="Arial"/>
        </w:rPr>
        <w:t>Reintegration students must be treated as a regular, supported in year transfer. Breaches of the school behaviour code incur the same sanctions as other students and are not reason for placement breakdown. Poor attendance and uniform transgressions are not reasons for placement breakdown. TPRS student supported re-integrations are NOT Managed Moves.</w:t>
      </w:r>
    </w:p>
    <w:p w14:paraId="652E2514" w14:textId="5B4AE0E6" w:rsidR="002E68FD" w:rsidRPr="00E92524" w:rsidRDefault="006152C9" w:rsidP="00E92524">
      <w:pPr>
        <w:pStyle w:val="ListParagraph"/>
        <w:numPr>
          <w:ilvl w:val="1"/>
          <w:numId w:val="1"/>
        </w:numPr>
        <w:spacing w:after="120"/>
        <w:contextualSpacing w:val="0"/>
        <w:rPr>
          <w:rFonts w:ascii="Arial" w:hAnsi="Arial" w:cs="Arial"/>
        </w:rPr>
      </w:pPr>
      <w:r w:rsidRPr="00E92524">
        <w:rPr>
          <w:rFonts w:ascii="Arial" w:hAnsi="Arial" w:cs="Arial"/>
        </w:rPr>
        <w:t xml:space="preserve">During the dual registration period, should the student’s behaviour give significant cause for concern, (i.e., the student’s behaviour would warrant a permanent exclusion in accordance with the school’s own behaviour policy) the placement will be terminated, by agreement.  </w:t>
      </w:r>
    </w:p>
    <w:p w14:paraId="17E1AAC4" w14:textId="5FAD9BF6" w:rsidR="006152C9" w:rsidRDefault="00B21873" w:rsidP="00E92524">
      <w:pPr>
        <w:pStyle w:val="ListParagraph"/>
        <w:numPr>
          <w:ilvl w:val="1"/>
          <w:numId w:val="1"/>
        </w:numPr>
        <w:spacing w:after="120"/>
        <w:contextualSpacing w:val="0"/>
        <w:rPr>
          <w:rFonts w:ascii="Arial" w:hAnsi="Arial" w:cs="Arial"/>
        </w:rPr>
      </w:pPr>
      <w:r w:rsidRPr="00E92524">
        <w:rPr>
          <w:rFonts w:ascii="Arial" w:hAnsi="Arial" w:cs="Arial"/>
        </w:rPr>
        <w:t>In the event of placement termination, the Mainstream School will complete and forward the Student Profile to TPRS within 5 working days of the decision with full detail of all relevant information.</w:t>
      </w:r>
    </w:p>
    <w:p w14:paraId="22339DB2" w14:textId="62666978" w:rsidR="00F70F44" w:rsidRPr="00F70F44" w:rsidRDefault="00F70F44" w:rsidP="00F70F44">
      <w:pPr>
        <w:spacing w:after="120"/>
        <w:ind w:left="360"/>
        <w:rPr>
          <w:rFonts w:ascii="Arial" w:hAnsi="Arial" w:cs="Arial"/>
        </w:rPr>
      </w:pPr>
    </w:p>
    <w:p w14:paraId="5E72308B" w14:textId="19E5EF53" w:rsidR="00F85579" w:rsidRPr="00E92524" w:rsidRDefault="00F85579" w:rsidP="00E92524">
      <w:pPr>
        <w:pStyle w:val="Heading2"/>
        <w:numPr>
          <w:ilvl w:val="0"/>
          <w:numId w:val="1"/>
        </w:numPr>
        <w:spacing w:after="120"/>
        <w:rPr>
          <w:rFonts w:ascii="Arial" w:hAnsi="Arial" w:cs="Arial"/>
        </w:rPr>
      </w:pPr>
      <w:bookmarkStart w:id="4" w:name="_Toc177374670"/>
      <w:r w:rsidRPr="00E92524">
        <w:rPr>
          <w:rFonts w:ascii="Arial" w:hAnsi="Arial" w:cs="Arial"/>
        </w:rPr>
        <w:t>Local Au</w:t>
      </w:r>
      <w:r w:rsidR="00CC2CBC" w:rsidRPr="00E92524">
        <w:rPr>
          <w:rFonts w:ascii="Arial" w:hAnsi="Arial" w:cs="Arial"/>
        </w:rPr>
        <w:t>thority Direction</w:t>
      </w:r>
      <w:bookmarkEnd w:id="4"/>
    </w:p>
    <w:p w14:paraId="19F247F1" w14:textId="6B869640" w:rsidR="00CC2CBC" w:rsidRPr="00E92524" w:rsidRDefault="00A95621" w:rsidP="00E92524">
      <w:pPr>
        <w:pStyle w:val="ListParagraph"/>
        <w:numPr>
          <w:ilvl w:val="1"/>
          <w:numId w:val="1"/>
        </w:numPr>
        <w:spacing w:after="120"/>
        <w:contextualSpacing w:val="0"/>
        <w:rPr>
          <w:rFonts w:ascii="Arial" w:hAnsi="Arial" w:cs="Arial"/>
        </w:rPr>
      </w:pPr>
      <w:r w:rsidRPr="00E92524">
        <w:rPr>
          <w:rFonts w:ascii="Arial" w:hAnsi="Arial" w:cs="Arial"/>
        </w:rPr>
        <w:t>If the In Year Fair Access Panel does not make an allocation of a school place the Local Authority will ‘instruct’ a school or academy to admit the child</w:t>
      </w:r>
      <w:r w:rsidR="00813AF3" w:rsidRPr="00E92524">
        <w:rPr>
          <w:rFonts w:ascii="Arial" w:hAnsi="Arial" w:cs="Arial"/>
        </w:rPr>
        <w:t xml:space="preserve">. </w:t>
      </w:r>
    </w:p>
    <w:p w14:paraId="355DA876" w14:textId="2ADDBDAF" w:rsidR="00427B3F" w:rsidRDefault="00427B3F" w:rsidP="00E92524">
      <w:pPr>
        <w:pStyle w:val="ListParagraph"/>
        <w:numPr>
          <w:ilvl w:val="1"/>
          <w:numId w:val="1"/>
        </w:numPr>
        <w:spacing w:after="120"/>
        <w:contextualSpacing w:val="0"/>
        <w:rPr>
          <w:rFonts w:ascii="Arial" w:hAnsi="Arial" w:cs="Arial"/>
        </w:rPr>
      </w:pPr>
      <w:r w:rsidRPr="00E92524">
        <w:rPr>
          <w:rFonts w:ascii="Arial" w:hAnsi="Arial" w:cs="Arial"/>
        </w:rPr>
        <w:t xml:space="preserve">If a school or academy refuses to adhere to a direction from the Local Authority, they must put their reasons in writing within 5 school days. The Local Authority will then decide </w:t>
      </w:r>
      <w:r w:rsidR="007A73B1" w:rsidRPr="00E92524">
        <w:rPr>
          <w:rFonts w:ascii="Arial" w:hAnsi="Arial" w:cs="Arial"/>
        </w:rPr>
        <w:t>whether</w:t>
      </w:r>
      <w:r w:rsidRPr="00E92524">
        <w:rPr>
          <w:rFonts w:ascii="Arial" w:hAnsi="Arial" w:cs="Arial"/>
        </w:rPr>
        <w:t xml:space="preserve"> to issue a direction (</w:t>
      </w:r>
      <w:r w:rsidR="007A73B1" w:rsidRPr="00E92524">
        <w:rPr>
          <w:rFonts w:ascii="Arial" w:hAnsi="Arial" w:cs="Arial"/>
        </w:rPr>
        <w:t>maintained</w:t>
      </w:r>
      <w:r w:rsidRPr="00E92524">
        <w:rPr>
          <w:rFonts w:ascii="Arial" w:hAnsi="Arial" w:cs="Arial"/>
        </w:rPr>
        <w:t xml:space="preserve"> schools) or refer the matter to the Education Funding Agency acting on behalf of the Secretary of State (all other schools and academies) using the processes outlined in the School Admissions Code </w:t>
      </w:r>
      <w:r w:rsidR="007A73B1" w:rsidRPr="00E92524">
        <w:rPr>
          <w:rFonts w:ascii="Arial" w:hAnsi="Arial" w:cs="Arial"/>
        </w:rPr>
        <w:t>(</w:t>
      </w:r>
      <w:r w:rsidRPr="00E92524">
        <w:rPr>
          <w:rFonts w:ascii="Arial" w:hAnsi="Arial" w:cs="Arial"/>
        </w:rPr>
        <w:t>2021</w:t>
      </w:r>
      <w:r w:rsidR="007A73B1" w:rsidRPr="00E92524">
        <w:rPr>
          <w:rFonts w:ascii="Arial" w:hAnsi="Arial" w:cs="Arial"/>
        </w:rPr>
        <w:t>)</w:t>
      </w:r>
      <w:r w:rsidRPr="00E92524">
        <w:rPr>
          <w:rFonts w:ascii="Arial" w:hAnsi="Arial" w:cs="Arial"/>
        </w:rPr>
        <w:t xml:space="preserve">.   </w:t>
      </w:r>
    </w:p>
    <w:p w14:paraId="0DB5F1CE" w14:textId="77777777" w:rsidR="00F70F44" w:rsidRPr="00F70F44" w:rsidRDefault="00F70F44" w:rsidP="00F70F44">
      <w:pPr>
        <w:spacing w:after="120"/>
        <w:ind w:left="360"/>
        <w:rPr>
          <w:rFonts w:ascii="Arial" w:hAnsi="Arial" w:cs="Arial"/>
        </w:rPr>
      </w:pPr>
    </w:p>
    <w:p w14:paraId="59D51BE8" w14:textId="055F4819" w:rsidR="00E601C4" w:rsidRPr="00E92524" w:rsidRDefault="00E601C4" w:rsidP="00E92524">
      <w:pPr>
        <w:pStyle w:val="Heading2"/>
        <w:numPr>
          <w:ilvl w:val="0"/>
          <w:numId w:val="1"/>
        </w:numPr>
        <w:spacing w:after="120"/>
        <w:rPr>
          <w:rFonts w:ascii="Arial" w:hAnsi="Arial" w:cs="Arial"/>
        </w:rPr>
      </w:pPr>
      <w:bookmarkStart w:id="5" w:name="_Toc177374671"/>
      <w:r w:rsidRPr="00E92524">
        <w:rPr>
          <w:rFonts w:ascii="Arial" w:hAnsi="Arial" w:cs="Arial"/>
        </w:rPr>
        <w:t>Review</w:t>
      </w:r>
      <w:bookmarkEnd w:id="5"/>
    </w:p>
    <w:p w14:paraId="272D8693" w14:textId="772118EB" w:rsidR="00E601C4" w:rsidRPr="00E92524" w:rsidRDefault="003D06D8" w:rsidP="00E92524">
      <w:pPr>
        <w:pStyle w:val="ListParagraph"/>
        <w:numPr>
          <w:ilvl w:val="1"/>
          <w:numId w:val="1"/>
        </w:numPr>
        <w:spacing w:after="120"/>
        <w:contextualSpacing w:val="0"/>
        <w:rPr>
          <w:rFonts w:ascii="Arial" w:hAnsi="Arial" w:cs="Arial"/>
        </w:rPr>
      </w:pPr>
      <w:r w:rsidRPr="00E92524">
        <w:rPr>
          <w:rFonts w:ascii="Arial" w:hAnsi="Arial" w:cs="Arial"/>
        </w:rPr>
        <w:t>Implementation of the Protocol will be monitored by the Tameside School Admissions Team. The Protocol will be reviewed in the summer term of each academic year so that any amendments can be agreed and implemented from the start of the following academic year.</w:t>
      </w:r>
    </w:p>
    <w:p w14:paraId="47540683" w14:textId="0831570D" w:rsidR="003D06D8" w:rsidRPr="00E92524" w:rsidRDefault="003C0864" w:rsidP="00E92524">
      <w:pPr>
        <w:pStyle w:val="ListParagraph"/>
        <w:numPr>
          <w:ilvl w:val="1"/>
          <w:numId w:val="1"/>
        </w:numPr>
        <w:spacing w:after="120"/>
        <w:contextualSpacing w:val="0"/>
        <w:rPr>
          <w:rFonts w:ascii="Arial" w:hAnsi="Arial" w:cs="Arial"/>
        </w:rPr>
      </w:pPr>
      <w:r w:rsidRPr="00E92524">
        <w:rPr>
          <w:rFonts w:ascii="Arial" w:hAnsi="Arial" w:cs="Arial"/>
        </w:rPr>
        <w:t xml:space="preserve">If any parties who are involved with the Fair Access Protocol process feel that the policy is no longer fair or viable, they should submit their concerns in writing to </w:t>
      </w:r>
      <w:r w:rsidR="009D4D89" w:rsidRPr="00E92524">
        <w:rPr>
          <w:rFonts w:ascii="Arial" w:hAnsi="Arial" w:cs="Arial"/>
        </w:rPr>
        <w:t>Tameside’s</w:t>
      </w:r>
      <w:r w:rsidRPr="00E92524">
        <w:rPr>
          <w:rFonts w:ascii="Arial" w:hAnsi="Arial" w:cs="Arial"/>
        </w:rPr>
        <w:t xml:space="preserve"> Head of </w:t>
      </w:r>
      <w:r w:rsidR="003D2F3C">
        <w:rPr>
          <w:rFonts w:ascii="Arial" w:hAnsi="Arial" w:cs="Arial"/>
        </w:rPr>
        <w:t>Admissions and Attendance</w:t>
      </w:r>
      <w:r w:rsidRPr="00E92524">
        <w:rPr>
          <w:rFonts w:ascii="Arial" w:hAnsi="Arial" w:cs="Arial"/>
        </w:rPr>
        <w:t>.</w:t>
      </w:r>
    </w:p>
    <w:p w14:paraId="2D5F2E3F" w14:textId="7BA14949" w:rsidR="002C6FD2" w:rsidRDefault="002C6FD2" w:rsidP="00E92524">
      <w:pPr>
        <w:pStyle w:val="ListParagraph"/>
        <w:numPr>
          <w:ilvl w:val="1"/>
          <w:numId w:val="1"/>
        </w:numPr>
        <w:spacing w:after="120"/>
        <w:contextualSpacing w:val="0"/>
        <w:rPr>
          <w:rFonts w:ascii="Arial" w:hAnsi="Arial" w:cs="Arial"/>
        </w:rPr>
      </w:pPr>
      <w:r w:rsidRPr="00E92524">
        <w:rPr>
          <w:rFonts w:ascii="Arial" w:hAnsi="Arial" w:cs="Arial"/>
        </w:rPr>
        <w:t>Should a change to the fundamental principles or the process be proposed, all secondary schools in Tameside will be consulted and invited to express their views.</w:t>
      </w:r>
    </w:p>
    <w:p w14:paraId="0A27F9F1" w14:textId="77777777" w:rsidR="007D51FC" w:rsidRDefault="007D51FC" w:rsidP="007D51FC">
      <w:pPr>
        <w:spacing w:after="120"/>
        <w:rPr>
          <w:rFonts w:ascii="Arial" w:hAnsi="Arial" w:cs="Arial"/>
        </w:rPr>
      </w:pPr>
    </w:p>
    <w:p w14:paraId="055BB8A2" w14:textId="2CCFD7A9" w:rsidR="00E72CFA" w:rsidRDefault="00E72CFA">
      <w:pPr>
        <w:rPr>
          <w:rFonts w:ascii="Arial" w:hAnsi="Arial" w:cs="Arial"/>
        </w:rPr>
      </w:pPr>
      <w:r>
        <w:rPr>
          <w:rFonts w:ascii="Arial" w:hAnsi="Arial" w:cs="Arial"/>
        </w:rPr>
        <w:br w:type="page"/>
      </w:r>
    </w:p>
    <w:p w14:paraId="53B169FA" w14:textId="0FDC2A70" w:rsidR="001B4D89" w:rsidRPr="00E72CFA" w:rsidRDefault="001A73A4" w:rsidP="00E72CFA">
      <w:pPr>
        <w:pStyle w:val="Heading2"/>
        <w:rPr>
          <w:rFonts w:ascii="Arial" w:hAnsi="Arial" w:cs="Arial"/>
        </w:rPr>
      </w:pPr>
      <w:bookmarkStart w:id="6" w:name="_Toc177374672"/>
      <w:r w:rsidRPr="00E72CFA">
        <w:rPr>
          <w:rFonts w:ascii="Arial" w:hAnsi="Arial" w:cs="Arial"/>
        </w:rPr>
        <w:lastRenderedPageBreak/>
        <w:t xml:space="preserve">APPENDIX </w:t>
      </w:r>
      <w:r w:rsidR="001B4D89" w:rsidRPr="00E72CFA">
        <w:rPr>
          <w:rFonts w:ascii="Arial" w:hAnsi="Arial" w:cs="Arial"/>
        </w:rPr>
        <w:t>A</w:t>
      </w:r>
      <w:r w:rsidRPr="00E72CFA">
        <w:rPr>
          <w:rFonts w:ascii="Arial" w:hAnsi="Arial" w:cs="Arial"/>
        </w:rPr>
        <w:t xml:space="preserve"> – ONLINE FA REFERRAL FORM</w:t>
      </w:r>
      <w:bookmarkEnd w:id="6"/>
      <w:r w:rsidRPr="00E72CFA">
        <w:rPr>
          <w:rFonts w:ascii="Arial" w:hAnsi="Arial" w:cs="Arial"/>
        </w:rPr>
        <w:t xml:space="preserve"> </w:t>
      </w:r>
    </w:p>
    <w:p w14:paraId="3C251619" w14:textId="09A557DA" w:rsidR="001A73A4" w:rsidRDefault="001A73A4">
      <w:r>
        <w:t xml:space="preserve">LINK: </w:t>
      </w:r>
      <w:hyperlink r:id="rId13" w:history="1">
        <w:r w:rsidR="002B426F" w:rsidRPr="001B4D89">
          <w:rPr>
            <w:rStyle w:val="Hyperlink"/>
          </w:rPr>
          <w:t>https://forms.office.com/e/ta0QgvcCe1</w:t>
        </w:r>
      </w:hyperlink>
    </w:p>
    <w:p w14:paraId="1BC2E951" w14:textId="465613C0" w:rsidR="001A73A4" w:rsidRDefault="00977A1B">
      <w:r>
        <w:t>A short version of the form is below for reference purposes only.</w:t>
      </w:r>
    </w:p>
    <w:p w14:paraId="55FC1DD6" w14:textId="4F2B697C" w:rsidR="00977A1B" w:rsidRDefault="00977A1B" w:rsidP="00977A1B">
      <w:r w:rsidRPr="00977A1B">
        <w:rPr>
          <w:noProof/>
        </w:rPr>
        <w:drawing>
          <wp:anchor distT="0" distB="0" distL="114300" distR="114300" simplePos="0" relativeHeight="251658240" behindDoc="0" locked="0" layoutInCell="1" allowOverlap="1" wp14:anchorId="7B26699F" wp14:editId="6F8EAA62">
            <wp:simplePos x="914400" y="1804946"/>
            <wp:positionH relativeFrom="column">
              <wp:align>left</wp:align>
            </wp:positionH>
            <wp:positionV relativeFrom="paragraph">
              <wp:align>top</wp:align>
            </wp:positionV>
            <wp:extent cx="3522428" cy="1968904"/>
            <wp:effectExtent l="0" t="0" r="1905" b="0"/>
            <wp:wrapSquare wrapText="bothSides"/>
            <wp:docPr id="696314830" name="Picture 1" descr="A group of pencils in a bas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14830" name="Picture 1" descr="A group of pencils in a baske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522428" cy="1968904"/>
                    </a:xfrm>
                    <a:prstGeom prst="rect">
                      <a:avLst/>
                    </a:prstGeom>
                  </pic:spPr>
                </pic:pic>
              </a:graphicData>
            </a:graphic>
          </wp:anchor>
        </w:drawing>
      </w:r>
      <w:r w:rsidR="00B56B17">
        <w:br w:type="textWrapping" w:clear="all"/>
      </w:r>
    </w:p>
    <w:p w14:paraId="44118810" w14:textId="4381E7BE" w:rsidR="00977A1B" w:rsidRDefault="00977A1B" w:rsidP="00977A1B">
      <w:r>
        <w:t>1. Your name</w:t>
      </w:r>
    </w:p>
    <w:p w14:paraId="47C43EAD" w14:textId="42A3D48B" w:rsidR="00977A1B" w:rsidRDefault="00977A1B" w:rsidP="00977A1B">
      <w:r>
        <w:t>2. Your School Name</w:t>
      </w:r>
    </w:p>
    <w:p w14:paraId="1E0B82D4" w14:textId="50E2DE9B" w:rsidR="00977A1B" w:rsidRDefault="00977A1B" w:rsidP="00977A1B">
      <w:r>
        <w:t>3. Pupil Name</w:t>
      </w:r>
    </w:p>
    <w:p w14:paraId="053548C5" w14:textId="69791F8A" w:rsidR="00977A1B" w:rsidRDefault="00977A1B" w:rsidP="00977A1B">
      <w:r>
        <w:t>4. Pupil’s Year Group</w:t>
      </w:r>
    </w:p>
    <w:p w14:paraId="73438E4E" w14:textId="2DA9E3B0" w:rsidR="00977A1B" w:rsidRDefault="00977A1B" w:rsidP="00977A1B">
      <w:r>
        <w:t>5. Please select the Fair Access Category you consider this application to meet:</w:t>
      </w:r>
    </w:p>
    <w:p w14:paraId="7CE805FB" w14:textId="6A5C1602" w:rsidR="00977A1B" w:rsidRDefault="00977A1B" w:rsidP="00977A1B">
      <w:r w:rsidRPr="00977A1B">
        <w:rPr>
          <w:noProof/>
        </w:rPr>
        <w:drawing>
          <wp:inline distT="0" distB="0" distL="0" distR="0" wp14:anchorId="69C541EF" wp14:editId="2B2529DE">
            <wp:extent cx="3512807" cy="3490623"/>
            <wp:effectExtent l="0" t="0" r="0" b="0"/>
            <wp:docPr id="1934571750" name="Picture 1" descr="A questionnaire with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71750" name="Picture 1" descr="A questionnaire with a questionnaire&#10;&#10;Description automatically generated"/>
                    <pic:cNvPicPr/>
                  </pic:nvPicPr>
                  <pic:blipFill>
                    <a:blip r:embed="rId15"/>
                    <a:stretch>
                      <a:fillRect/>
                    </a:stretch>
                  </pic:blipFill>
                  <pic:spPr>
                    <a:xfrm>
                      <a:off x="0" y="0"/>
                      <a:ext cx="3520612" cy="3498379"/>
                    </a:xfrm>
                    <a:prstGeom prst="rect">
                      <a:avLst/>
                    </a:prstGeom>
                  </pic:spPr>
                </pic:pic>
              </a:graphicData>
            </a:graphic>
          </wp:inline>
        </w:drawing>
      </w:r>
    </w:p>
    <w:p w14:paraId="6FB7D3AF" w14:textId="1DA7CD29" w:rsidR="00977A1B" w:rsidRDefault="00977A1B" w:rsidP="00977A1B">
      <w:r>
        <w:t>6. School Position - Describe the circumstances preventing you from offering a place to this pupil</w:t>
      </w:r>
    </w:p>
    <w:p w14:paraId="6639C59B" w14:textId="2E5C2186" w:rsidR="00C04DF2" w:rsidRDefault="00977A1B">
      <w:r>
        <w:t xml:space="preserve">7. Pupil’s circumstances – Explain with evidence why this pupil should not be offered a place at your school </w:t>
      </w:r>
    </w:p>
    <w:p w14:paraId="5B2F7640" w14:textId="77777777" w:rsidR="00FB73FE" w:rsidRDefault="00FB73FE">
      <w:pPr>
        <w:sectPr w:rsidR="00FB73FE" w:rsidSect="00CA7D28">
          <w:footerReference w:type="default" r:id="rId16"/>
          <w:pgSz w:w="11906" w:h="16838"/>
          <w:pgMar w:top="993" w:right="1440" w:bottom="1440" w:left="1440" w:header="708" w:footer="422" w:gutter="0"/>
          <w:cols w:space="708"/>
          <w:docGrid w:linePitch="360"/>
        </w:sectPr>
      </w:pPr>
    </w:p>
    <w:p w14:paraId="3748B099" w14:textId="623973ED" w:rsidR="00C04DF2" w:rsidRPr="00E72CFA" w:rsidRDefault="0068402F" w:rsidP="001B4D89">
      <w:pPr>
        <w:pStyle w:val="Heading2"/>
        <w:rPr>
          <w:rFonts w:ascii="Arial" w:hAnsi="Arial" w:cs="Arial"/>
        </w:rPr>
      </w:pPr>
      <w:bookmarkStart w:id="7" w:name="_Toc177374673"/>
      <w:r w:rsidRPr="00E72CFA">
        <w:rPr>
          <w:rFonts w:ascii="Arial" w:hAnsi="Arial" w:cs="Arial"/>
        </w:rPr>
        <w:lastRenderedPageBreak/>
        <w:t>APPENDIX B</w:t>
      </w:r>
      <w:r w:rsidR="001A73A4" w:rsidRPr="00E72CFA">
        <w:rPr>
          <w:rFonts w:ascii="Arial" w:hAnsi="Arial" w:cs="Arial"/>
        </w:rPr>
        <w:t xml:space="preserve"> – TERMLY SCHOOL FAP REPORT</w:t>
      </w:r>
      <w:bookmarkEnd w:id="7"/>
    </w:p>
    <w:p w14:paraId="5D5E557C" w14:textId="0EDA97DC" w:rsidR="002E638C" w:rsidRDefault="002E638C" w:rsidP="00433213"/>
    <w:tbl>
      <w:tblPr>
        <w:tblStyle w:val="TableGrid"/>
        <w:tblpPr w:leftFromText="180" w:rightFromText="180" w:vertAnchor="page" w:horzAnchor="margin" w:tblpY="2737"/>
        <w:tblW w:w="13166" w:type="dxa"/>
        <w:tblLook w:val="04A0" w:firstRow="1" w:lastRow="0" w:firstColumn="1" w:lastColumn="0" w:noHBand="0" w:noVBand="1"/>
      </w:tblPr>
      <w:tblGrid>
        <w:gridCol w:w="1185"/>
        <w:gridCol w:w="866"/>
        <w:gridCol w:w="965"/>
        <w:gridCol w:w="1000"/>
        <w:gridCol w:w="991"/>
        <w:gridCol w:w="1150"/>
        <w:gridCol w:w="1134"/>
        <w:gridCol w:w="1268"/>
        <w:gridCol w:w="416"/>
        <w:gridCol w:w="694"/>
        <w:gridCol w:w="1110"/>
        <w:gridCol w:w="1111"/>
        <w:gridCol w:w="1270"/>
        <w:gridCol w:w="6"/>
      </w:tblGrid>
      <w:tr w:rsidR="0056739A" w14:paraId="5BF492F4" w14:textId="13A84FC9" w:rsidTr="00E72CFA">
        <w:trPr>
          <w:trHeight w:val="277"/>
        </w:trPr>
        <w:tc>
          <w:tcPr>
            <w:tcW w:w="13166" w:type="dxa"/>
            <w:gridSpan w:val="14"/>
            <w:shd w:val="clear" w:color="auto" w:fill="D9D9D9" w:themeFill="background1" w:themeFillShade="D9"/>
          </w:tcPr>
          <w:p w14:paraId="3B099648" w14:textId="77777777" w:rsidR="0056739A" w:rsidRPr="00DC450C" w:rsidRDefault="0056739A" w:rsidP="00B755BE">
            <w:pPr>
              <w:pStyle w:val="Heading2"/>
              <w:rPr>
                <w:rFonts w:ascii="Arial" w:hAnsi="Arial" w:cs="Arial"/>
                <w:b/>
                <w:bCs/>
                <w:sz w:val="24"/>
                <w:szCs w:val="24"/>
              </w:rPr>
            </w:pPr>
          </w:p>
        </w:tc>
      </w:tr>
      <w:tr w:rsidR="00E72CFA" w14:paraId="6A5B3BEE" w14:textId="4C1B3C93" w:rsidTr="00E72CFA">
        <w:trPr>
          <w:gridAfter w:val="1"/>
          <w:wAfter w:w="3" w:type="dxa"/>
          <w:trHeight w:val="701"/>
        </w:trPr>
        <w:tc>
          <w:tcPr>
            <w:tcW w:w="1186" w:type="dxa"/>
            <w:shd w:val="clear" w:color="auto" w:fill="D9D9D9" w:themeFill="background1" w:themeFillShade="D9"/>
            <w:vAlign w:val="center"/>
          </w:tcPr>
          <w:p w14:paraId="50B67095" w14:textId="77777777" w:rsidR="00E72CFA" w:rsidRPr="00CA43E2" w:rsidRDefault="00E72CFA" w:rsidP="00B755BE">
            <w:pPr>
              <w:rPr>
                <w:b/>
                <w:bCs/>
              </w:rPr>
            </w:pPr>
            <w:r w:rsidRPr="00CA43E2">
              <w:rPr>
                <w:b/>
                <w:bCs/>
              </w:rPr>
              <w:t xml:space="preserve">School: </w:t>
            </w:r>
          </w:p>
        </w:tc>
        <w:tc>
          <w:tcPr>
            <w:tcW w:w="4973" w:type="dxa"/>
            <w:gridSpan w:val="5"/>
            <w:vAlign w:val="center"/>
          </w:tcPr>
          <w:p w14:paraId="0209EB16" w14:textId="77777777" w:rsidR="00E72CFA" w:rsidRDefault="00E72CFA" w:rsidP="00B755BE"/>
        </w:tc>
        <w:tc>
          <w:tcPr>
            <w:tcW w:w="1134" w:type="dxa"/>
            <w:shd w:val="clear" w:color="auto" w:fill="D9D9D9" w:themeFill="background1" w:themeFillShade="D9"/>
            <w:vAlign w:val="center"/>
          </w:tcPr>
          <w:p w14:paraId="518C4E22" w14:textId="77777777" w:rsidR="00E72CFA" w:rsidRPr="00CA43E2" w:rsidRDefault="00E72CFA" w:rsidP="00B755BE">
            <w:pPr>
              <w:rPr>
                <w:b/>
                <w:bCs/>
              </w:rPr>
            </w:pPr>
            <w:r w:rsidRPr="00CA43E2">
              <w:rPr>
                <w:b/>
                <w:bCs/>
              </w:rPr>
              <w:t>Term:</w:t>
            </w:r>
          </w:p>
        </w:tc>
        <w:tc>
          <w:tcPr>
            <w:tcW w:w="1685" w:type="dxa"/>
            <w:gridSpan w:val="2"/>
          </w:tcPr>
          <w:p w14:paraId="7206BB7A" w14:textId="77777777" w:rsidR="00E72CFA" w:rsidRDefault="00E72CFA" w:rsidP="00B755BE"/>
        </w:tc>
        <w:tc>
          <w:tcPr>
            <w:tcW w:w="1804" w:type="dxa"/>
            <w:gridSpan w:val="2"/>
            <w:shd w:val="clear" w:color="auto" w:fill="D9D9D9" w:themeFill="background1" w:themeFillShade="D9"/>
            <w:vAlign w:val="center"/>
          </w:tcPr>
          <w:p w14:paraId="0E9E4F77" w14:textId="221438AF" w:rsidR="00E72CFA" w:rsidRPr="00E72CFA" w:rsidRDefault="00E72CFA" w:rsidP="00B755BE">
            <w:pPr>
              <w:rPr>
                <w:b/>
                <w:bCs/>
              </w:rPr>
            </w:pPr>
            <w:r w:rsidRPr="00E72CFA">
              <w:rPr>
                <w:b/>
                <w:bCs/>
              </w:rPr>
              <w:t>Completed by:</w:t>
            </w:r>
          </w:p>
        </w:tc>
        <w:tc>
          <w:tcPr>
            <w:tcW w:w="2381" w:type="dxa"/>
            <w:gridSpan w:val="2"/>
          </w:tcPr>
          <w:p w14:paraId="4BEFB6E8" w14:textId="77777777" w:rsidR="00E72CFA" w:rsidRDefault="00E72CFA" w:rsidP="00B755BE"/>
        </w:tc>
      </w:tr>
      <w:tr w:rsidR="00E72CFA" w14:paraId="729A27E7" w14:textId="6CC277F7" w:rsidTr="00E72CFA">
        <w:trPr>
          <w:gridAfter w:val="1"/>
          <w:wAfter w:w="6" w:type="dxa"/>
          <w:trHeight w:val="701"/>
        </w:trPr>
        <w:tc>
          <w:tcPr>
            <w:tcW w:w="1186" w:type="dxa"/>
            <w:shd w:val="clear" w:color="auto" w:fill="D9D9D9" w:themeFill="background1" w:themeFillShade="D9"/>
          </w:tcPr>
          <w:p w14:paraId="4917000A" w14:textId="77777777" w:rsidR="00EF062C" w:rsidRDefault="00EF062C" w:rsidP="00B755BE"/>
        </w:tc>
        <w:tc>
          <w:tcPr>
            <w:tcW w:w="866" w:type="dxa"/>
            <w:shd w:val="clear" w:color="auto" w:fill="D9D9D9" w:themeFill="background1" w:themeFillShade="D9"/>
            <w:vAlign w:val="center"/>
          </w:tcPr>
          <w:p w14:paraId="12694CAA" w14:textId="77777777" w:rsidR="00EF062C" w:rsidRPr="00CA43E2" w:rsidRDefault="00EF062C" w:rsidP="00B755BE">
            <w:pPr>
              <w:jc w:val="center"/>
              <w:rPr>
                <w:b/>
                <w:bCs/>
              </w:rPr>
            </w:pPr>
            <w:r w:rsidRPr="00CA43E2">
              <w:rPr>
                <w:b/>
                <w:bCs/>
              </w:rPr>
              <w:t>PAN</w:t>
            </w:r>
          </w:p>
        </w:tc>
        <w:tc>
          <w:tcPr>
            <w:tcW w:w="965" w:type="dxa"/>
            <w:shd w:val="clear" w:color="auto" w:fill="D9D9D9" w:themeFill="background1" w:themeFillShade="D9"/>
            <w:vAlign w:val="center"/>
          </w:tcPr>
          <w:p w14:paraId="6CAEBEBE" w14:textId="77777777" w:rsidR="00EF062C" w:rsidRPr="00CA43E2" w:rsidRDefault="00EF062C" w:rsidP="00B755BE">
            <w:pPr>
              <w:jc w:val="center"/>
              <w:rPr>
                <w:b/>
                <w:bCs/>
              </w:rPr>
            </w:pPr>
            <w:r w:rsidRPr="00CA43E2">
              <w:rPr>
                <w:b/>
                <w:bCs/>
              </w:rPr>
              <w:t>NOR</w:t>
            </w:r>
          </w:p>
        </w:tc>
        <w:tc>
          <w:tcPr>
            <w:tcW w:w="1000" w:type="dxa"/>
            <w:shd w:val="clear" w:color="auto" w:fill="D9D9D9" w:themeFill="background1" w:themeFillShade="D9"/>
            <w:vAlign w:val="center"/>
          </w:tcPr>
          <w:p w14:paraId="06D86694" w14:textId="77777777" w:rsidR="00EF062C" w:rsidRPr="00CA43E2" w:rsidRDefault="00EF062C" w:rsidP="00B755BE">
            <w:pPr>
              <w:jc w:val="center"/>
              <w:rPr>
                <w:b/>
                <w:bCs/>
              </w:rPr>
            </w:pPr>
            <w:r w:rsidRPr="00CA43E2">
              <w:rPr>
                <w:b/>
                <w:bCs/>
              </w:rPr>
              <w:t>LAC/ PLAC</w:t>
            </w:r>
          </w:p>
        </w:tc>
        <w:tc>
          <w:tcPr>
            <w:tcW w:w="991" w:type="dxa"/>
            <w:shd w:val="clear" w:color="auto" w:fill="D9D9D9" w:themeFill="background1" w:themeFillShade="D9"/>
            <w:vAlign w:val="center"/>
          </w:tcPr>
          <w:p w14:paraId="36E3F071" w14:textId="77777777" w:rsidR="00EF062C" w:rsidRPr="00CA43E2" w:rsidRDefault="00EF062C" w:rsidP="00B755BE">
            <w:pPr>
              <w:jc w:val="center"/>
              <w:rPr>
                <w:b/>
                <w:bCs/>
              </w:rPr>
            </w:pPr>
            <w:r w:rsidRPr="00CA43E2">
              <w:rPr>
                <w:b/>
                <w:bCs/>
              </w:rPr>
              <w:t>EHCP</w:t>
            </w:r>
          </w:p>
        </w:tc>
        <w:tc>
          <w:tcPr>
            <w:tcW w:w="1149" w:type="dxa"/>
            <w:shd w:val="clear" w:color="auto" w:fill="D9D9D9" w:themeFill="background1" w:themeFillShade="D9"/>
            <w:vAlign w:val="center"/>
          </w:tcPr>
          <w:p w14:paraId="618BED20" w14:textId="77777777" w:rsidR="00EF062C" w:rsidRPr="00CA43E2" w:rsidRDefault="00EF062C" w:rsidP="00B755BE">
            <w:pPr>
              <w:jc w:val="center"/>
              <w:rPr>
                <w:b/>
                <w:bCs/>
              </w:rPr>
            </w:pPr>
            <w:r w:rsidRPr="00CA43E2">
              <w:rPr>
                <w:b/>
                <w:bCs/>
              </w:rPr>
              <w:t>SEN Support</w:t>
            </w:r>
          </w:p>
        </w:tc>
        <w:tc>
          <w:tcPr>
            <w:tcW w:w="1134" w:type="dxa"/>
            <w:shd w:val="clear" w:color="auto" w:fill="D9D9D9" w:themeFill="background1" w:themeFillShade="D9"/>
            <w:vAlign w:val="center"/>
          </w:tcPr>
          <w:p w14:paraId="5014C8CE" w14:textId="26CEE0C8" w:rsidR="00EF062C" w:rsidRPr="00CA43E2" w:rsidRDefault="00EF062C" w:rsidP="00B755BE">
            <w:pPr>
              <w:jc w:val="center"/>
              <w:rPr>
                <w:b/>
                <w:bCs/>
              </w:rPr>
            </w:pPr>
            <w:r>
              <w:rPr>
                <w:b/>
                <w:bCs/>
              </w:rPr>
              <w:t>PEX Re</w:t>
            </w:r>
          </w:p>
        </w:tc>
        <w:tc>
          <w:tcPr>
            <w:tcW w:w="1269" w:type="dxa"/>
            <w:shd w:val="clear" w:color="auto" w:fill="D9D9D9" w:themeFill="background1" w:themeFillShade="D9"/>
            <w:vAlign w:val="center"/>
          </w:tcPr>
          <w:p w14:paraId="48685B0E" w14:textId="77777777" w:rsidR="00EF062C" w:rsidRPr="00CA43E2" w:rsidRDefault="00EF062C" w:rsidP="00B755BE">
            <w:pPr>
              <w:jc w:val="center"/>
              <w:rPr>
                <w:b/>
                <w:bCs/>
              </w:rPr>
            </w:pPr>
            <w:r w:rsidRPr="00CA43E2">
              <w:rPr>
                <w:b/>
                <w:bCs/>
              </w:rPr>
              <w:t>CIN, CPP</w:t>
            </w:r>
          </w:p>
        </w:tc>
        <w:tc>
          <w:tcPr>
            <w:tcW w:w="1110" w:type="dxa"/>
            <w:gridSpan w:val="2"/>
            <w:shd w:val="clear" w:color="auto" w:fill="D9D9D9" w:themeFill="background1" w:themeFillShade="D9"/>
          </w:tcPr>
          <w:p w14:paraId="77E66B1B" w14:textId="32DE2AC0" w:rsidR="00EF062C" w:rsidRPr="00CA43E2" w:rsidRDefault="00EF062C" w:rsidP="00B755BE">
            <w:pPr>
              <w:jc w:val="center"/>
              <w:rPr>
                <w:b/>
                <w:bCs/>
              </w:rPr>
            </w:pPr>
            <w:r>
              <w:rPr>
                <w:b/>
                <w:bCs/>
              </w:rPr>
              <w:t>FT Sus</w:t>
            </w:r>
            <w:r w:rsidR="0056739A">
              <w:rPr>
                <w:b/>
                <w:bCs/>
              </w:rPr>
              <w:t>p</w:t>
            </w:r>
          </w:p>
        </w:tc>
        <w:tc>
          <w:tcPr>
            <w:tcW w:w="1110" w:type="dxa"/>
            <w:shd w:val="clear" w:color="auto" w:fill="D9D9D9" w:themeFill="background1" w:themeFillShade="D9"/>
            <w:vAlign w:val="center"/>
          </w:tcPr>
          <w:p w14:paraId="667A0838" w14:textId="1125F2F5" w:rsidR="00EF062C" w:rsidRPr="00CA43E2" w:rsidRDefault="00EF062C" w:rsidP="00B755BE">
            <w:pPr>
              <w:jc w:val="center"/>
              <w:rPr>
                <w:b/>
                <w:bCs/>
              </w:rPr>
            </w:pPr>
            <w:r w:rsidRPr="00CA43E2">
              <w:rPr>
                <w:b/>
                <w:bCs/>
              </w:rPr>
              <w:t>FAP</w:t>
            </w:r>
            <w:r>
              <w:rPr>
                <w:b/>
                <w:bCs/>
              </w:rPr>
              <w:t xml:space="preserve"> placed</w:t>
            </w:r>
          </w:p>
        </w:tc>
        <w:tc>
          <w:tcPr>
            <w:tcW w:w="1111" w:type="dxa"/>
            <w:shd w:val="clear" w:color="auto" w:fill="D9D9D9" w:themeFill="background1" w:themeFillShade="D9"/>
          </w:tcPr>
          <w:p w14:paraId="03DBDDD7" w14:textId="3DBB4D68" w:rsidR="00EF062C" w:rsidRPr="00CA43E2" w:rsidRDefault="00EF062C" w:rsidP="00B755BE">
            <w:pPr>
              <w:jc w:val="center"/>
              <w:rPr>
                <w:b/>
                <w:bCs/>
              </w:rPr>
            </w:pPr>
            <w:r>
              <w:rPr>
                <w:b/>
                <w:bCs/>
              </w:rPr>
              <w:t>IY placed</w:t>
            </w:r>
          </w:p>
        </w:tc>
        <w:tc>
          <w:tcPr>
            <w:tcW w:w="1269" w:type="dxa"/>
            <w:shd w:val="clear" w:color="auto" w:fill="D9D9D9" w:themeFill="background1" w:themeFillShade="D9"/>
          </w:tcPr>
          <w:p w14:paraId="7B8136FD" w14:textId="1B6A22F0" w:rsidR="00EF062C" w:rsidRDefault="00EF062C" w:rsidP="00B755BE">
            <w:pPr>
              <w:jc w:val="center"/>
              <w:rPr>
                <w:b/>
                <w:bCs/>
              </w:rPr>
            </w:pPr>
            <w:r>
              <w:rPr>
                <w:b/>
                <w:bCs/>
              </w:rPr>
              <w:t>Severely absent</w:t>
            </w:r>
          </w:p>
        </w:tc>
      </w:tr>
      <w:tr w:rsidR="00E72CFA" w14:paraId="3B0F6EEC" w14:textId="5C8B4289" w:rsidTr="00E72CFA">
        <w:trPr>
          <w:gridAfter w:val="1"/>
          <w:wAfter w:w="6" w:type="dxa"/>
          <w:trHeight w:val="516"/>
        </w:trPr>
        <w:tc>
          <w:tcPr>
            <w:tcW w:w="1186" w:type="dxa"/>
            <w:shd w:val="clear" w:color="auto" w:fill="D9D9D9" w:themeFill="background1" w:themeFillShade="D9"/>
            <w:vAlign w:val="center"/>
          </w:tcPr>
          <w:p w14:paraId="1EF9C7C6" w14:textId="77777777" w:rsidR="00EF062C" w:rsidRPr="00CA43E2" w:rsidRDefault="00EF062C" w:rsidP="00B755BE">
            <w:pPr>
              <w:rPr>
                <w:b/>
                <w:bCs/>
              </w:rPr>
            </w:pPr>
            <w:r w:rsidRPr="00CA43E2">
              <w:rPr>
                <w:b/>
                <w:bCs/>
              </w:rPr>
              <w:t>Year 7:</w:t>
            </w:r>
          </w:p>
        </w:tc>
        <w:tc>
          <w:tcPr>
            <w:tcW w:w="866" w:type="dxa"/>
          </w:tcPr>
          <w:p w14:paraId="6F71BE55" w14:textId="77777777" w:rsidR="00EF062C" w:rsidRDefault="00EF062C" w:rsidP="00B755BE"/>
        </w:tc>
        <w:tc>
          <w:tcPr>
            <w:tcW w:w="965" w:type="dxa"/>
          </w:tcPr>
          <w:p w14:paraId="799FC70D" w14:textId="77777777" w:rsidR="00EF062C" w:rsidRDefault="00EF062C" w:rsidP="00B755BE"/>
        </w:tc>
        <w:tc>
          <w:tcPr>
            <w:tcW w:w="1000" w:type="dxa"/>
          </w:tcPr>
          <w:p w14:paraId="01A42773" w14:textId="77777777" w:rsidR="00EF062C" w:rsidRDefault="00EF062C" w:rsidP="00B755BE"/>
        </w:tc>
        <w:tc>
          <w:tcPr>
            <w:tcW w:w="991" w:type="dxa"/>
          </w:tcPr>
          <w:p w14:paraId="118A25A5" w14:textId="77777777" w:rsidR="00EF062C" w:rsidRDefault="00EF062C" w:rsidP="00B755BE"/>
        </w:tc>
        <w:tc>
          <w:tcPr>
            <w:tcW w:w="1149" w:type="dxa"/>
          </w:tcPr>
          <w:p w14:paraId="7BD2EDA0" w14:textId="77777777" w:rsidR="00EF062C" w:rsidRDefault="00EF062C" w:rsidP="00B755BE"/>
        </w:tc>
        <w:tc>
          <w:tcPr>
            <w:tcW w:w="1134" w:type="dxa"/>
          </w:tcPr>
          <w:p w14:paraId="65F311CA" w14:textId="77777777" w:rsidR="00EF062C" w:rsidRDefault="00EF062C" w:rsidP="00B755BE"/>
        </w:tc>
        <w:tc>
          <w:tcPr>
            <w:tcW w:w="1269" w:type="dxa"/>
          </w:tcPr>
          <w:p w14:paraId="38FE61F4" w14:textId="77777777" w:rsidR="00EF062C" w:rsidRDefault="00EF062C" w:rsidP="00B755BE"/>
        </w:tc>
        <w:tc>
          <w:tcPr>
            <w:tcW w:w="1110" w:type="dxa"/>
            <w:gridSpan w:val="2"/>
          </w:tcPr>
          <w:p w14:paraId="55FAD58D" w14:textId="77777777" w:rsidR="00EF062C" w:rsidRPr="005A4D88" w:rsidRDefault="00EF062C" w:rsidP="00B755BE">
            <w:pPr>
              <w:rPr>
                <w:color w:val="FF0000"/>
              </w:rPr>
            </w:pPr>
          </w:p>
        </w:tc>
        <w:tc>
          <w:tcPr>
            <w:tcW w:w="1110" w:type="dxa"/>
          </w:tcPr>
          <w:p w14:paraId="120092E1" w14:textId="6914973C" w:rsidR="00EF062C" w:rsidRPr="005A4D88" w:rsidRDefault="00EF062C" w:rsidP="00B755BE">
            <w:pPr>
              <w:rPr>
                <w:color w:val="FF0000"/>
              </w:rPr>
            </w:pPr>
          </w:p>
        </w:tc>
        <w:tc>
          <w:tcPr>
            <w:tcW w:w="1111" w:type="dxa"/>
          </w:tcPr>
          <w:p w14:paraId="36AC7030" w14:textId="77777777" w:rsidR="00EF062C" w:rsidRPr="005A4D88" w:rsidRDefault="00EF062C" w:rsidP="00B755BE">
            <w:pPr>
              <w:rPr>
                <w:color w:val="FF0000"/>
              </w:rPr>
            </w:pPr>
          </w:p>
        </w:tc>
        <w:tc>
          <w:tcPr>
            <w:tcW w:w="1269" w:type="dxa"/>
          </w:tcPr>
          <w:p w14:paraId="658465CC" w14:textId="77777777" w:rsidR="00EF062C" w:rsidRPr="005A4D88" w:rsidRDefault="00EF062C" w:rsidP="00B755BE">
            <w:pPr>
              <w:rPr>
                <w:color w:val="FF0000"/>
              </w:rPr>
            </w:pPr>
          </w:p>
        </w:tc>
      </w:tr>
      <w:tr w:rsidR="00E72CFA" w14:paraId="4F0C5EE1" w14:textId="4B738139" w:rsidTr="00E72CFA">
        <w:trPr>
          <w:gridAfter w:val="1"/>
          <w:wAfter w:w="6" w:type="dxa"/>
          <w:trHeight w:val="516"/>
        </w:trPr>
        <w:tc>
          <w:tcPr>
            <w:tcW w:w="1186" w:type="dxa"/>
            <w:shd w:val="clear" w:color="auto" w:fill="D9D9D9" w:themeFill="background1" w:themeFillShade="D9"/>
            <w:vAlign w:val="center"/>
          </w:tcPr>
          <w:p w14:paraId="5A1F1B84" w14:textId="77777777" w:rsidR="00EF062C" w:rsidRPr="00CA43E2" w:rsidRDefault="00EF062C" w:rsidP="00B755BE">
            <w:pPr>
              <w:rPr>
                <w:b/>
                <w:bCs/>
              </w:rPr>
            </w:pPr>
            <w:r w:rsidRPr="00CA43E2">
              <w:rPr>
                <w:b/>
                <w:bCs/>
              </w:rPr>
              <w:t>Year 8:</w:t>
            </w:r>
          </w:p>
        </w:tc>
        <w:tc>
          <w:tcPr>
            <w:tcW w:w="866" w:type="dxa"/>
          </w:tcPr>
          <w:p w14:paraId="766F713D" w14:textId="77777777" w:rsidR="00EF062C" w:rsidRDefault="00EF062C" w:rsidP="00B755BE"/>
        </w:tc>
        <w:tc>
          <w:tcPr>
            <w:tcW w:w="965" w:type="dxa"/>
          </w:tcPr>
          <w:p w14:paraId="2C582CA5" w14:textId="77777777" w:rsidR="00EF062C" w:rsidRDefault="00EF062C" w:rsidP="00B755BE"/>
        </w:tc>
        <w:tc>
          <w:tcPr>
            <w:tcW w:w="1000" w:type="dxa"/>
          </w:tcPr>
          <w:p w14:paraId="4DB5769B" w14:textId="77777777" w:rsidR="00EF062C" w:rsidRDefault="00EF062C" w:rsidP="00B755BE"/>
        </w:tc>
        <w:tc>
          <w:tcPr>
            <w:tcW w:w="991" w:type="dxa"/>
          </w:tcPr>
          <w:p w14:paraId="4593E8C8" w14:textId="77777777" w:rsidR="00EF062C" w:rsidRDefault="00EF062C" w:rsidP="00B755BE"/>
        </w:tc>
        <w:tc>
          <w:tcPr>
            <w:tcW w:w="1149" w:type="dxa"/>
          </w:tcPr>
          <w:p w14:paraId="56561DA4" w14:textId="77777777" w:rsidR="00EF062C" w:rsidRDefault="00EF062C" w:rsidP="00B755BE"/>
        </w:tc>
        <w:tc>
          <w:tcPr>
            <w:tcW w:w="1134" w:type="dxa"/>
          </w:tcPr>
          <w:p w14:paraId="40BC0661" w14:textId="77777777" w:rsidR="00EF062C" w:rsidRDefault="00EF062C" w:rsidP="00B755BE"/>
        </w:tc>
        <w:tc>
          <w:tcPr>
            <w:tcW w:w="1269" w:type="dxa"/>
          </w:tcPr>
          <w:p w14:paraId="084D7D00" w14:textId="77777777" w:rsidR="00EF062C" w:rsidRDefault="00EF062C" w:rsidP="00B755BE"/>
        </w:tc>
        <w:tc>
          <w:tcPr>
            <w:tcW w:w="1110" w:type="dxa"/>
            <w:gridSpan w:val="2"/>
          </w:tcPr>
          <w:p w14:paraId="2E87C4BA" w14:textId="77777777" w:rsidR="00EF062C" w:rsidRPr="005A4D88" w:rsidRDefault="00EF062C" w:rsidP="00B755BE">
            <w:pPr>
              <w:rPr>
                <w:color w:val="FF0000"/>
              </w:rPr>
            </w:pPr>
          </w:p>
        </w:tc>
        <w:tc>
          <w:tcPr>
            <w:tcW w:w="1110" w:type="dxa"/>
          </w:tcPr>
          <w:p w14:paraId="1FC12099" w14:textId="40E50F46" w:rsidR="00EF062C" w:rsidRPr="005A4D88" w:rsidRDefault="00EF062C" w:rsidP="00B755BE">
            <w:pPr>
              <w:rPr>
                <w:color w:val="FF0000"/>
              </w:rPr>
            </w:pPr>
          </w:p>
        </w:tc>
        <w:tc>
          <w:tcPr>
            <w:tcW w:w="1111" w:type="dxa"/>
          </w:tcPr>
          <w:p w14:paraId="1347627A" w14:textId="77777777" w:rsidR="00EF062C" w:rsidRPr="005A4D88" w:rsidRDefault="00EF062C" w:rsidP="00B755BE">
            <w:pPr>
              <w:rPr>
                <w:color w:val="FF0000"/>
              </w:rPr>
            </w:pPr>
          </w:p>
        </w:tc>
        <w:tc>
          <w:tcPr>
            <w:tcW w:w="1269" w:type="dxa"/>
          </w:tcPr>
          <w:p w14:paraId="2931473E" w14:textId="77777777" w:rsidR="00EF062C" w:rsidRPr="005A4D88" w:rsidRDefault="00EF062C" w:rsidP="00B755BE">
            <w:pPr>
              <w:rPr>
                <w:color w:val="FF0000"/>
              </w:rPr>
            </w:pPr>
          </w:p>
        </w:tc>
      </w:tr>
      <w:tr w:rsidR="00E72CFA" w14:paraId="12B46B38" w14:textId="3064B2BF" w:rsidTr="00E72CFA">
        <w:trPr>
          <w:gridAfter w:val="1"/>
          <w:wAfter w:w="6" w:type="dxa"/>
          <w:trHeight w:val="516"/>
        </w:trPr>
        <w:tc>
          <w:tcPr>
            <w:tcW w:w="1186" w:type="dxa"/>
            <w:shd w:val="clear" w:color="auto" w:fill="D9D9D9" w:themeFill="background1" w:themeFillShade="D9"/>
            <w:vAlign w:val="center"/>
          </w:tcPr>
          <w:p w14:paraId="28A0BAA7" w14:textId="77777777" w:rsidR="00EF062C" w:rsidRPr="00CA43E2" w:rsidRDefault="00EF062C" w:rsidP="00B755BE">
            <w:pPr>
              <w:rPr>
                <w:b/>
                <w:bCs/>
              </w:rPr>
            </w:pPr>
            <w:r w:rsidRPr="00CA43E2">
              <w:rPr>
                <w:b/>
                <w:bCs/>
              </w:rPr>
              <w:t>Year 9:</w:t>
            </w:r>
          </w:p>
        </w:tc>
        <w:tc>
          <w:tcPr>
            <w:tcW w:w="866" w:type="dxa"/>
          </w:tcPr>
          <w:p w14:paraId="39255523" w14:textId="77777777" w:rsidR="00EF062C" w:rsidRDefault="00EF062C" w:rsidP="00B755BE"/>
        </w:tc>
        <w:tc>
          <w:tcPr>
            <w:tcW w:w="965" w:type="dxa"/>
          </w:tcPr>
          <w:p w14:paraId="683FE998" w14:textId="77777777" w:rsidR="00EF062C" w:rsidRDefault="00EF062C" w:rsidP="00B755BE"/>
        </w:tc>
        <w:tc>
          <w:tcPr>
            <w:tcW w:w="1000" w:type="dxa"/>
          </w:tcPr>
          <w:p w14:paraId="76F149CD" w14:textId="77777777" w:rsidR="00EF062C" w:rsidRDefault="00EF062C" w:rsidP="00B755BE"/>
        </w:tc>
        <w:tc>
          <w:tcPr>
            <w:tcW w:w="991" w:type="dxa"/>
          </w:tcPr>
          <w:p w14:paraId="21A938A8" w14:textId="77777777" w:rsidR="00EF062C" w:rsidRDefault="00EF062C" w:rsidP="00B755BE"/>
        </w:tc>
        <w:tc>
          <w:tcPr>
            <w:tcW w:w="1149" w:type="dxa"/>
          </w:tcPr>
          <w:p w14:paraId="73EF502E" w14:textId="77777777" w:rsidR="00EF062C" w:rsidRDefault="00EF062C" w:rsidP="00B755BE"/>
        </w:tc>
        <w:tc>
          <w:tcPr>
            <w:tcW w:w="1134" w:type="dxa"/>
          </w:tcPr>
          <w:p w14:paraId="3EE3FC08" w14:textId="77777777" w:rsidR="00EF062C" w:rsidRDefault="00EF062C" w:rsidP="00B755BE"/>
        </w:tc>
        <w:tc>
          <w:tcPr>
            <w:tcW w:w="1269" w:type="dxa"/>
          </w:tcPr>
          <w:p w14:paraId="4B489A8B" w14:textId="77777777" w:rsidR="00EF062C" w:rsidRDefault="00EF062C" w:rsidP="00B755BE"/>
        </w:tc>
        <w:tc>
          <w:tcPr>
            <w:tcW w:w="1110" w:type="dxa"/>
            <w:gridSpan w:val="2"/>
          </w:tcPr>
          <w:p w14:paraId="3833F2BA" w14:textId="77777777" w:rsidR="00EF062C" w:rsidRPr="005A4D88" w:rsidRDefault="00EF062C" w:rsidP="00B755BE">
            <w:pPr>
              <w:rPr>
                <w:color w:val="FF0000"/>
              </w:rPr>
            </w:pPr>
          </w:p>
        </w:tc>
        <w:tc>
          <w:tcPr>
            <w:tcW w:w="1110" w:type="dxa"/>
          </w:tcPr>
          <w:p w14:paraId="3B5DA5F5" w14:textId="53A9E7F1" w:rsidR="00EF062C" w:rsidRPr="005A4D88" w:rsidRDefault="00EF062C" w:rsidP="00B755BE">
            <w:pPr>
              <w:rPr>
                <w:color w:val="FF0000"/>
              </w:rPr>
            </w:pPr>
          </w:p>
        </w:tc>
        <w:tc>
          <w:tcPr>
            <w:tcW w:w="1111" w:type="dxa"/>
          </w:tcPr>
          <w:p w14:paraId="777810C4" w14:textId="77777777" w:rsidR="00EF062C" w:rsidRPr="005A4D88" w:rsidRDefault="00EF062C" w:rsidP="00B755BE">
            <w:pPr>
              <w:rPr>
                <w:color w:val="FF0000"/>
              </w:rPr>
            </w:pPr>
          </w:p>
        </w:tc>
        <w:tc>
          <w:tcPr>
            <w:tcW w:w="1269" w:type="dxa"/>
          </w:tcPr>
          <w:p w14:paraId="222A160A" w14:textId="77777777" w:rsidR="00EF062C" w:rsidRPr="005A4D88" w:rsidRDefault="00EF062C" w:rsidP="00B755BE">
            <w:pPr>
              <w:rPr>
                <w:color w:val="FF0000"/>
              </w:rPr>
            </w:pPr>
          </w:p>
        </w:tc>
      </w:tr>
      <w:tr w:rsidR="00E72CFA" w14:paraId="6A059739" w14:textId="68DC180B" w:rsidTr="00E72CFA">
        <w:trPr>
          <w:gridAfter w:val="1"/>
          <w:wAfter w:w="6" w:type="dxa"/>
          <w:trHeight w:val="516"/>
        </w:trPr>
        <w:tc>
          <w:tcPr>
            <w:tcW w:w="1186" w:type="dxa"/>
            <w:shd w:val="clear" w:color="auto" w:fill="D9D9D9" w:themeFill="background1" w:themeFillShade="D9"/>
            <w:vAlign w:val="center"/>
          </w:tcPr>
          <w:p w14:paraId="2E81F433" w14:textId="77777777" w:rsidR="00EF062C" w:rsidRPr="00CA43E2" w:rsidRDefault="00EF062C" w:rsidP="00B755BE">
            <w:pPr>
              <w:rPr>
                <w:b/>
                <w:bCs/>
              </w:rPr>
            </w:pPr>
            <w:r w:rsidRPr="00CA43E2">
              <w:rPr>
                <w:b/>
                <w:bCs/>
              </w:rPr>
              <w:t>Year 10:</w:t>
            </w:r>
          </w:p>
        </w:tc>
        <w:tc>
          <w:tcPr>
            <w:tcW w:w="866" w:type="dxa"/>
          </w:tcPr>
          <w:p w14:paraId="4A820C7D" w14:textId="77777777" w:rsidR="00EF062C" w:rsidRDefault="00EF062C" w:rsidP="00B755BE"/>
        </w:tc>
        <w:tc>
          <w:tcPr>
            <w:tcW w:w="965" w:type="dxa"/>
          </w:tcPr>
          <w:p w14:paraId="7A25E795" w14:textId="77777777" w:rsidR="00EF062C" w:rsidRDefault="00EF062C" w:rsidP="00B755BE"/>
        </w:tc>
        <w:tc>
          <w:tcPr>
            <w:tcW w:w="1000" w:type="dxa"/>
          </w:tcPr>
          <w:p w14:paraId="1B32269C" w14:textId="77777777" w:rsidR="00EF062C" w:rsidRDefault="00EF062C" w:rsidP="00B755BE"/>
        </w:tc>
        <w:tc>
          <w:tcPr>
            <w:tcW w:w="991" w:type="dxa"/>
          </w:tcPr>
          <w:p w14:paraId="6DFFDC4D" w14:textId="77777777" w:rsidR="00EF062C" w:rsidRDefault="00EF062C" w:rsidP="00B755BE"/>
        </w:tc>
        <w:tc>
          <w:tcPr>
            <w:tcW w:w="1149" w:type="dxa"/>
          </w:tcPr>
          <w:p w14:paraId="0BB36791" w14:textId="77777777" w:rsidR="00EF062C" w:rsidRDefault="00EF062C" w:rsidP="00B755BE"/>
        </w:tc>
        <w:tc>
          <w:tcPr>
            <w:tcW w:w="1134" w:type="dxa"/>
          </w:tcPr>
          <w:p w14:paraId="7C98E73C" w14:textId="77777777" w:rsidR="00EF062C" w:rsidRDefault="00EF062C" w:rsidP="00B755BE"/>
        </w:tc>
        <w:tc>
          <w:tcPr>
            <w:tcW w:w="1269" w:type="dxa"/>
          </w:tcPr>
          <w:p w14:paraId="10EBE688" w14:textId="77777777" w:rsidR="00EF062C" w:rsidRDefault="00EF062C" w:rsidP="00B755BE"/>
        </w:tc>
        <w:tc>
          <w:tcPr>
            <w:tcW w:w="1110" w:type="dxa"/>
            <w:gridSpan w:val="2"/>
          </w:tcPr>
          <w:p w14:paraId="5ED9B3CD" w14:textId="77777777" w:rsidR="00EF062C" w:rsidRPr="005A4D88" w:rsidRDefault="00EF062C" w:rsidP="00B755BE">
            <w:pPr>
              <w:rPr>
                <w:color w:val="FF0000"/>
              </w:rPr>
            </w:pPr>
          </w:p>
        </w:tc>
        <w:tc>
          <w:tcPr>
            <w:tcW w:w="1110" w:type="dxa"/>
          </w:tcPr>
          <w:p w14:paraId="44F79B17" w14:textId="778C5D06" w:rsidR="00EF062C" w:rsidRPr="005A4D88" w:rsidRDefault="00EF062C" w:rsidP="00B755BE">
            <w:pPr>
              <w:rPr>
                <w:color w:val="FF0000"/>
              </w:rPr>
            </w:pPr>
          </w:p>
        </w:tc>
        <w:tc>
          <w:tcPr>
            <w:tcW w:w="1111" w:type="dxa"/>
          </w:tcPr>
          <w:p w14:paraId="71D64DA7" w14:textId="77777777" w:rsidR="00EF062C" w:rsidRPr="005A4D88" w:rsidRDefault="00EF062C" w:rsidP="00B755BE">
            <w:pPr>
              <w:rPr>
                <w:color w:val="FF0000"/>
              </w:rPr>
            </w:pPr>
          </w:p>
        </w:tc>
        <w:tc>
          <w:tcPr>
            <w:tcW w:w="1269" w:type="dxa"/>
          </w:tcPr>
          <w:p w14:paraId="5E93561B" w14:textId="77777777" w:rsidR="00EF062C" w:rsidRPr="005A4D88" w:rsidRDefault="00EF062C" w:rsidP="00B755BE">
            <w:pPr>
              <w:rPr>
                <w:color w:val="FF0000"/>
              </w:rPr>
            </w:pPr>
          </w:p>
        </w:tc>
      </w:tr>
      <w:tr w:rsidR="00E72CFA" w14:paraId="714EFB04" w14:textId="747D14B2" w:rsidTr="00E72CFA">
        <w:trPr>
          <w:gridAfter w:val="1"/>
          <w:wAfter w:w="6" w:type="dxa"/>
          <w:trHeight w:val="516"/>
        </w:trPr>
        <w:tc>
          <w:tcPr>
            <w:tcW w:w="1186" w:type="dxa"/>
            <w:shd w:val="clear" w:color="auto" w:fill="D9D9D9" w:themeFill="background1" w:themeFillShade="D9"/>
            <w:vAlign w:val="center"/>
          </w:tcPr>
          <w:p w14:paraId="738745B0" w14:textId="77777777" w:rsidR="00EF062C" w:rsidRPr="00CA43E2" w:rsidRDefault="00EF062C" w:rsidP="00B755BE">
            <w:pPr>
              <w:rPr>
                <w:b/>
                <w:bCs/>
              </w:rPr>
            </w:pPr>
            <w:r w:rsidRPr="00CA43E2">
              <w:rPr>
                <w:b/>
                <w:bCs/>
              </w:rPr>
              <w:t>Year 11:</w:t>
            </w:r>
          </w:p>
        </w:tc>
        <w:tc>
          <w:tcPr>
            <w:tcW w:w="866" w:type="dxa"/>
          </w:tcPr>
          <w:p w14:paraId="278964EE" w14:textId="77777777" w:rsidR="00EF062C" w:rsidRDefault="00EF062C" w:rsidP="00B755BE"/>
        </w:tc>
        <w:tc>
          <w:tcPr>
            <w:tcW w:w="965" w:type="dxa"/>
          </w:tcPr>
          <w:p w14:paraId="5CF1B8D4" w14:textId="77777777" w:rsidR="00EF062C" w:rsidRDefault="00EF062C" w:rsidP="00B755BE"/>
        </w:tc>
        <w:tc>
          <w:tcPr>
            <w:tcW w:w="1000" w:type="dxa"/>
          </w:tcPr>
          <w:p w14:paraId="404C89F6" w14:textId="77777777" w:rsidR="00EF062C" w:rsidRDefault="00EF062C" w:rsidP="00B755BE"/>
        </w:tc>
        <w:tc>
          <w:tcPr>
            <w:tcW w:w="991" w:type="dxa"/>
          </w:tcPr>
          <w:p w14:paraId="53558040" w14:textId="77777777" w:rsidR="00EF062C" w:rsidRDefault="00EF062C" w:rsidP="00B755BE"/>
        </w:tc>
        <w:tc>
          <w:tcPr>
            <w:tcW w:w="1149" w:type="dxa"/>
          </w:tcPr>
          <w:p w14:paraId="122607F2" w14:textId="77777777" w:rsidR="00EF062C" w:rsidRDefault="00EF062C" w:rsidP="00B755BE"/>
        </w:tc>
        <w:tc>
          <w:tcPr>
            <w:tcW w:w="1134" w:type="dxa"/>
          </w:tcPr>
          <w:p w14:paraId="580B8995" w14:textId="77777777" w:rsidR="00EF062C" w:rsidRDefault="00EF062C" w:rsidP="00B755BE"/>
        </w:tc>
        <w:tc>
          <w:tcPr>
            <w:tcW w:w="1269" w:type="dxa"/>
          </w:tcPr>
          <w:p w14:paraId="4DA9FB96" w14:textId="77777777" w:rsidR="00EF062C" w:rsidRDefault="00EF062C" w:rsidP="00B755BE"/>
        </w:tc>
        <w:tc>
          <w:tcPr>
            <w:tcW w:w="1110" w:type="dxa"/>
            <w:gridSpan w:val="2"/>
          </w:tcPr>
          <w:p w14:paraId="00872EE3" w14:textId="77777777" w:rsidR="00EF062C" w:rsidRPr="005A4D88" w:rsidRDefault="00EF062C" w:rsidP="00B755BE">
            <w:pPr>
              <w:rPr>
                <w:color w:val="FF0000"/>
              </w:rPr>
            </w:pPr>
          </w:p>
        </w:tc>
        <w:tc>
          <w:tcPr>
            <w:tcW w:w="1110" w:type="dxa"/>
          </w:tcPr>
          <w:p w14:paraId="0D2576E6" w14:textId="065B8843" w:rsidR="00EF062C" w:rsidRPr="005A4D88" w:rsidRDefault="00EF062C" w:rsidP="00B755BE">
            <w:pPr>
              <w:rPr>
                <w:color w:val="FF0000"/>
              </w:rPr>
            </w:pPr>
          </w:p>
        </w:tc>
        <w:tc>
          <w:tcPr>
            <w:tcW w:w="1111" w:type="dxa"/>
          </w:tcPr>
          <w:p w14:paraId="7579B2EF" w14:textId="77777777" w:rsidR="00EF062C" w:rsidRPr="005A4D88" w:rsidRDefault="00EF062C" w:rsidP="00B755BE">
            <w:pPr>
              <w:rPr>
                <w:color w:val="FF0000"/>
              </w:rPr>
            </w:pPr>
          </w:p>
        </w:tc>
        <w:tc>
          <w:tcPr>
            <w:tcW w:w="1269" w:type="dxa"/>
          </w:tcPr>
          <w:p w14:paraId="7D8FDF7B" w14:textId="77777777" w:rsidR="00EF062C" w:rsidRPr="005A4D88" w:rsidRDefault="00EF062C" w:rsidP="00B755BE">
            <w:pPr>
              <w:rPr>
                <w:color w:val="FF0000"/>
              </w:rPr>
            </w:pPr>
          </w:p>
        </w:tc>
      </w:tr>
      <w:tr w:rsidR="00E72CFA" w14:paraId="2C5FE5FF" w14:textId="1E44FAA8" w:rsidTr="00E72CFA">
        <w:trPr>
          <w:gridAfter w:val="1"/>
          <w:wAfter w:w="6" w:type="dxa"/>
          <w:trHeight w:val="516"/>
        </w:trPr>
        <w:tc>
          <w:tcPr>
            <w:tcW w:w="1186" w:type="dxa"/>
            <w:shd w:val="clear" w:color="auto" w:fill="D9D9D9" w:themeFill="background1" w:themeFillShade="D9"/>
            <w:vAlign w:val="center"/>
          </w:tcPr>
          <w:p w14:paraId="7E00C1C2" w14:textId="77777777" w:rsidR="00EF062C" w:rsidRPr="00CA43E2" w:rsidRDefault="00EF062C" w:rsidP="00B755BE">
            <w:pPr>
              <w:rPr>
                <w:b/>
                <w:bCs/>
              </w:rPr>
            </w:pPr>
            <w:r w:rsidRPr="00CA43E2">
              <w:rPr>
                <w:b/>
                <w:bCs/>
              </w:rPr>
              <w:t>Total:</w:t>
            </w:r>
          </w:p>
        </w:tc>
        <w:tc>
          <w:tcPr>
            <w:tcW w:w="866" w:type="dxa"/>
          </w:tcPr>
          <w:p w14:paraId="7E1632AC" w14:textId="77777777" w:rsidR="00EF062C" w:rsidRPr="005A4D88" w:rsidRDefault="00EF062C" w:rsidP="00B755BE">
            <w:pPr>
              <w:rPr>
                <w:color w:val="FF0000"/>
              </w:rPr>
            </w:pPr>
          </w:p>
        </w:tc>
        <w:tc>
          <w:tcPr>
            <w:tcW w:w="965" w:type="dxa"/>
          </w:tcPr>
          <w:p w14:paraId="34A2F2C9" w14:textId="77777777" w:rsidR="00EF062C" w:rsidRPr="005A4D88" w:rsidRDefault="00EF062C" w:rsidP="00B755BE">
            <w:pPr>
              <w:rPr>
                <w:color w:val="FF0000"/>
              </w:rPr>
            </w:pPr>
          </w:p>
        </w:tc>
        <w:tc>
          <w:tcPr>
            <w:tcW w:w="1000" w:type="dxa"/>
          </w:tcPr>
          <w:p w14:paraId="6A48DE10" w14:textId="77777777" w:rsidR="00EF062C" w:rsidRPr="005A4D88" w:rsidRDefault="00EF062C" w:rsidP="00B755BE">
            <w:pPr>
              <w:rPr>
                <w:color w:val="FF0000"/>
              </w:rPr>
            </w:pPr>
          </w:p>
        </w:tc>
        <w:tc>
          <w:tcPr>
            <w:tcW w:w="991" w:type="dxa"/>
          </w:tcPr>
          <w:p w14:paraId="087BEBE0" w14:textId="77777777" w:rsidR="00EF062C" w:rsidRPr="005A4D88" w:rsidRDefault="00EF062C" w:rsidP="00B755BE">
            <w:pPr>
              <w:rPr>
                <w:color w:val="FF0000"/>
              </w:rPr>
            </w:pPr>
          </w:p>
        </w:tc>
        <w:tc>
          <w:tcPr>
            <w:tcW w:w="1149" w:type="dxa"/>
          </w:tcPr>
          <w:p w14:paraId="15149E9C" w14:textId="77777777" w:rsidR="00EF062C" w:rsidRPr="005A4D88" w:rsidRDefault="00EF062C" w:rsidP="00B755BE">
            <w:pPr>
              <w:rPr>
                <w:color w:val="FF0000"/>
              </w:rPr>
            </w:pPr>
          </w:p>
        </w:tc>
        <w:tc>
          <w:tcPr>
            <w:tcW w:w="1134" w:type="dxa"/>
          </w:tcPr>
          <w:p w14:paraId="53157CEB" w14:textId="77777777" w:rsidR="00EF062C" w:rsidRPr="005A4D88" w:rsidRDefault="00EF062C" w:rsidP="00B755BE">
            <w:pPr>
              <w:rPr>
                <w:color w:val="FF0000"/>
              </w:rPr>
            </w:pPr>
          </w:p>
        </w:tc>
        <w:tc>
          <w:tcPr>
            <w:tcW w:w="1269" w:type="dxa"/>
          </w:tcPr>
          <w:p w14:paraId="7A6630B0" w14:textId="77777777" w:rsidR="00EF062C" w:rsidRPr="005A4D88" w:rsidRDefault="00EF062C" w:rsidP="00B755BE">
            <w:pPr>
              <w:rPr>
                <w:color w:val="FF0000"/>
              </w:rPr>
            </w:pPr>
          </w:p>
        </w:tc>
        <w:tc>
          <w:tcPr>
            <w:tcW w:w="1110" w:type="dxa"/>
            <w:gridSpan w:val="2"/>
          </w:tcPr>
          <w:p w14:paraId="4D3EDD56" w14:textId="77777777" w:rsidR="00EF062C" w:rsidRPr="005A4D88" w:rsidRDefault="00EF062C" w:rsidP="00B755BE">
            <w:pPr>
              <w:rPr>
                <w:color w:val="FF0000"/>
              </w:rPr>
            </w:pPr>
          </w:p>
        </w:tc>
        <w:tc>
          <w:tcPr>
            <w:tcW w:w="1110" w:type="dxa"/>
          </w:tcPr>
          <w:p w14:paraId="3D66D0AA" w14:textId="74B134AE" w:rsidR="00EF062C" w:rsidRPr="005A4D88" w:rsidRDefault="00EF062C" w:rsidP="00B755BE">
            <w:pPr>
              <w:rPr>
                <w:color w:val="FF0000"/>
              </w:rPr>
            </w:pPr>
          </w:p>
        </w:tc>
        <w:tc>
          <w:tcPr>
            <w:tcW w:w="1111" w:type="dxa"/>
          </w:tcPr>
          <w:p w14:paraId="7A959EC5" w14:textId="77777777" w:rsidR="00EF062C" w:rsidRPr="005A4D88" w:rsidRDefault="00EF062C" w:rsidP="00B755BE">
            <w:pPr>
              <w:rPr>
                <w:color w:val="FF0000"/>
              </w:rPr>
            </w:pPr>
          </w:p>
        </w:tc>
        <w:tc>
          <w:tcPr>
            <w:tcW w:w="1269" w:type="dxa"/>
          </w:tcPr>
          <w:p w14:paraId="5750D26D" w14:textId="77777777" w:rsidR="00EF062C" w:rsidRPr="005A4D88" w:rsidRDefault="00EF062C" w:rsidP="00B755BE">
            <w:pPr>
              <w:rPr>
                <w:color w:val="FF0000"/>
              </w:rPr>
            </w:pPr>
          </w:p>
        </w:tc>
      </w:tr>
      <w:tr w:rsidR="0056739A" w14:paraId="7A7DE754" w14:textId="65BAB14F" w:rsidTr="00E72CFA">
        <w:trPr>
          <w:trHeight w:val="1916"/>
        </w:trPr>
        <w:tc>
          <w:tcPr>
            <w:tcW w:w="2053" w:type="dxa"/>
            <w:gridSpan w:val="2"/>
            <w:shd w:val="clear" w:color="auto" w:fill="D9D9D9" w:themeFill="background1" w:themeFillShade="D9"/>
            <w:vAlign w:val="center"/>
          </w:tcPr>
          <w:p w14:paraId="5AED7949" w14:textId="77777777" w:rsidR="0056739A" w:rsidRPr="00CA43E2" w:rsidRDefault="0056739A" w:rsidP="00B755BE">
            <w:pPr>
              <w:rPr>
                <w:b/>
                <w:bCs/>
              </w:rPr>
            </w:pPr>
            <w:r w:rsidRPr="00CA43E2">
              <w:rPr>
                <w:b/>
                <w:bCs/>
              </w:rPr>
              <w:t>Additional comments:</w:t>
            </w:r>
          </w:p>
        </w:tc>
        <w:tc>
          <w:tcPr>
            <w:tcW w:w="11113" w:type="dxa"/>
            <w:gridSpan w:val="12"/>
          </w:tcPr>
          <w:p w14:paraId="46311E0F" w14:textId="77777777" w:rsidR="0056739A" w:rsidRDefault="0056739A" w:rsidP="00B755BE"/>
        </w:tc>
      </w:tr>
    </w:tbl>
    <w:p w14:paraId="13A609EF" w14:textId="77777777" w:rsidR="00310AB1" w:rsidRDefault="00310AB1" w:rsidP="00433213"/>
    <w:p w14:paraId="679A68EB" w14:textId="29B7FA55" w:rsidR="00310AB1" w:rsidRDefault="00310AB1">
      <w:r>
        <w:br w:type="page"/>
      </w:r>
    </w:p>
    <w:p w14:paraId="46D85455" w14:textId="77777777" w:rsidR="00FB73FE" w:rsidRDefault="00FB73FE" w:rsidP="00B56B17">
      <w:pPr>
        <w:pStyle w:val="Heading2"/>
        <w:rPr>
          <w:rFonts w:ascii="Arial" w:hAnsi="Arial" w:cs="Arial"/>
        </w:rPr>
        <w:sectPr w:rsidR="00FB73FE" w:rsidSect="00FB73FE">
          <w:pgSz w:w="16838" w:h="11906" w:orient="landscape"/>
          <w:pgMar w:top="1440" w:right="992" w:bottom="1440" w:left="1440" w:header="709" w:footer="420" w:gutter="0"/>
          <w:cols w:space="708"/>
          <w:docGrid w:linePitch="360"/>
        </w:sectPr>
      </w:pPr>
    </w:p>
    <w:p w14:paraId="3C5A8BA0" w14:textId="77777777" w:rsidR="00B56B17" w:rsidRPr="00CA7D28" w:rsidRDefault="00B56B17" w:rsidP="00B56B17">
      <w:pPr>
        <w:pStyle w:val="Heading2"/>
        <w:rPr>
          <w:rFonts w:ascii="Arial" w:hAnsi="Arial" w:cs="Arial"/>
        </w:rPr>
      </w:pPr>
      <w:bookmarkStart w:id="8" w:name="_Toc177374674"/>
      <w:r w:rsidRPr="00CA7D28">
        <w:rPr>
          <w:rFonts w:ascii="Arial" w:hAnsi="Arial" w:cs="Arial"/>
        </w:rPr>
        <w:lastRenderedPageBreak/>
        <w:t>IFAP 2024-2025 Timetable</w:t>
      </w:r>
      <w:bookmarkEnd w:id="8"/>
      <w:r w:rsidRPr="00CA7D28">
        <w:rPr>
          <w:rFonts w:ascii="Arial" w:hAnsi="Arial" w:cs="Arial"/>
        </w:rPr>
        <w:t> </w:t>
      </w:r>
    </w:p>
    <w:p w14:paraId="78AB427A" w14:textId="77777777" w:rsidR="00B56B17" w:rsidRPr="00B56B17" w:rsidRDefault="00B56B17" w:rsidP="00B56B17">
      <w:r w:rsidRPr="00B56B17">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0"/>
      </w:tblGrid>
      <w:tr w:rsidR="00B56B17" w:rsidRPr="00B56B17" w14:paraId="055F0C04" w14:textId="77777777" w:rsidTr="00B56B17">
        <w:trPr>
          <w:trHeight w:val="465"/>
        </w:trPr>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23BDA" w14:textId="77777777" w:rsidR="00B56B17" w:rsidRPr="00B56B17" w:rsidRDefault="00B56B17" w:rsidP="00B56B17">
            <w:pPr>
              <w:divId w:val="2063629406"/>
              <w:rPr>
                <w:rFonts w:ascii="Arial" w:hAnsi="Arial" w:cs="Arial"/>
              </w:rPr>
            </w:pPr>
            <w:r w:rsidRPr="00B56B17">
              <w:rPr>
                <w:rFonts w:ascii="Arial" w:hAnsi="Arial" w:cs="Arial"/>
              </w:rPr>
              <w:t>Wednesday 25</w:t>
            </w:r>
            <w:r w:rsidRPr="00B56B17">
              <w:rPr>
                <w:rFonts w:ascii="Arial" w:hAnsi="Arial" w:cs="Arial"/>
                <w:vertAlign w:val="superscript"/>
              </w:rPr>
              <w:t>th</w:t>
            </w:r>
            <w:r w:rsidRPr="00B56B17">
              <w:rPr>
                <w:rFonts w:ascii="Arial" w:hAnsi="Arial" w:cs="Arial"/>
              </w:rPr>
              <w:t xml:space="preserve"> September 2024  </w:t>
            </w:r>
          </w:p>
        </w:tc>
      </w:tr>
      <w:tr w:rsidR="00B56B17" w:rsidRPr="00B56B17" w14:paraId="3F4829F4" w14:textId="77777777" w:rsidTr="00B56B17">
        <w:trPr>
          <w:trHeight w:val="465"/>
        </w:trPr>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CA58F" w14:textId="77777777" w:rsidR="00B56B17" w:rsidRPr="00B56B17" w:rsidRDefault="00B56B17" w:rsidP="00B56B17">
            <w:pPr>
              <w:rPr>
                <w:rFonts w:ascii="Arial" w:hAnsi="Arial" w:cs="Arial"/>
              </w:rPr>
            </w:pPr>
            <w:r w:rsidRPr="00B56B17">
              <w:rPr>
                <w:rFonts w:ascii="Arial" w:hAnsi="Arial" w:cs="Arial"/>
              </w:rPr>
              <w:t>Wednesday 16</w:t>
            </w:r>
            <w:r w:rsidRPr="00B56B17">
              <w:rPr>
                <w:rFonts w:ascii="Arial" w:hAnsi="Arial" w:cs="Arial"/>
                <w:vertAlign w:val="superscript"/>
              </w:rPr>
              <w:t>th</w:t>
            </w:r>
            <w:r w:rsidRPr="00B56B17">
              <w:rPr>
                <w:rFonts w:ascii="Arial" w:hAnsi="Arial" w:cs="Arial"/>
              </w:rPr>
              <w:t xml:space="preserve"> October 2024 </w:t>
            </w:r>
          </w:p>
        </w:tc>
      </w:tr>
      <w:tr w:rsidR="00B56B17" w:rsidRPr="00B56B17" w14:paraId="5DB65F1F" w14:textId="77777777" w:rsidTr="00B56B17">
        <w:trPr>
          <w:trHeight w:val="480"/>
        </w:trPr>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E48A9" w14:textId="77777777" w:rsidR="00B56B17" w:rsidRPr="00B56B17" w:rsidRDefault="00B56B17" w:rsidP="00B56B17">
            <w:pPr>
              <w:rPr>
                <w:rFonts w:ascii="Arial" w:hAnsi="Arial" w:cs="Arial"/>
              </w:rPr>
            </w:pPr>
            <w:r w:rsidRPr="00B56B17">
              <w:rPr>
                <w:rFonts w:ascii="Arial" w:hAnsi="Arial" w:cs="Arial"/>
              </w:rPr>
              <w:t>Wednesday 13</w:t>
            </w:r>
            <w:r w:rsidRPr="00B56B17">
              <w:rPr>
                <w:rFonts w:ascii="Arial" w:hAnsi="Arial" w:cs="Arial"/>
                <w:vertAlign w:val="superscript"/>
              </w:rPr>
              <w:t>th</w:t>
            </w:r>
            <w:r w:rsidRPr="00B56B17">
              <w:rPr>
                <w:rFonts w:ascii="Arial" w:hAnsi="Arial" w:cs="Arial"/>
              </w:rPr>
              <w:t xml:space="preserve"> November 2024 </w:t>
            </w:r>
          </w:p>
        </w:tc>
      </w:tr>
      <w:tr w:rsidR="00B56B17" w:rsidRPr="00B56B17" w14:paraId="26FD5E8D" w14:textId="77777777" w:rsidTr="00B56B17">
        <w:trPr>
          <w:trHeight w:val="465"/>
        </w:trPr>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C1F66" w14:textId="77777777" w:rsidR="00B56B17" w:rsidRPr="00B56B17" w:rsidRDefault="00B56B17" w:rsidP="00B56B17">
            <w:pPr>
              <w:rPr>
                <w:rFonts w:ascii="Arial" w:hAnsi="Arial" w:cs="Arial"/>
              </w:rPr>
            </w:pPr>
            <w:r w:rsidRPr="00B56B17">
              <w:rPr>
                <w:rFonts w:ascii="Arial" w:hAnsi="Arial" w:cs="Arial"/>
              </w:rPr>
              <w:t>Wednesday 4</w:t>
            </w:r>
            <w:r w:rsidRPr="00B56B17">
              <w:rPr>
                <w:rFonts w:ascii="Arial" w:hAnsi="Arial" w:cs="Arial"/>
                <w:vertAlign w:val="superscript"/>
              </w:rPr>
              <w:t>th</w:t>
            </w:r>
            <w:r w:rsidRPr="00B56B17">
              <w:rPr>
                <w:rFonts w:ascii="Arial" w:hAnsi="Arial" w:cs="Arial"/>
              </w:rPr>
              <w:t xml:space="preserve"> December 2024 </w:t>
            </w:r>
          </w:p>
        </w:tc>
      </w:tr>
      <w:tr w:rsidR="00B56B17" w:rsidRPr="00B56B17" w14:paraId="4EEA1564" w14:textId="77777777" w:rsidTr="00B56B17">
        <w:trPr>
          <w:trHeight w:val="465"/>
        </w:trPr>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12089" w14:textId="77777777" w:rsidR="00B56B17" w:rsidRPr="00B56B17" w:rsidRDefault="00B56B17" w:rsidP="00B56B17">
            <w:pPr>
              <w:rPr>
                <w:rFonts w:ascii="Arial" w:hAnsi="Arial" w:cs="Arial"/>
              </w:rPr>
            </w:pPr>
            <w:r w:rsidRPr="00B56B17">
              <w:rPr>
                <w:rFonts w:ascii="Arial" w:hAnsi="Arial" w:cs="Arial"/>
              </w:rPr>
              <w:t>Wednesday 15</w:t>
            </w:r>
            <w:r w:rsidRPr="00B56B17">
              <w:rPr>
                <w:rFonts w:ascii="Arial" w:hAnsi="Arial" w:cs="Arial"/>
                <w:vertAlign w:val="superscript"/>
              </w:rPr>
              <w:t>th</w:t>
            </w:r>
            <w:r w:rsidRPr="00B56B17">
              <w:rPr>
                <w:rFonts w:ascii="Arial" w:hAnsi="Arial" w:cs="Arial"/>
              </w:rPr>
              <w:t xml:space="preserve"> January 2025 </w:t>
            </w:r>
          </w:p>
        </w:tc>
      </w:tr>
      <w:tr w:rsidR="00B56B17" w:rsidRPr="00B56B17" w14:paraId="06C12F7F" w14:textId="77777777" w:rsidTr="00B56B17">
        <w:trPr>
          <w:trHeight w:val="465"/>
        </w:trPr>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36D35" w14:textId="77777777" w:rsidR="00B56B17" w:rsidRPr="00B56B17" w:rsidRDefault="00B56B17" w:rsidP="00B56B17">
            <w:pPr>
              <w:rPr>
                <w:rFonts w:ascii="Arial" w:hAnsi="Arial" w:cs="Arial"/>
              </w:rPr>
            </w:pPr>
            <w:r w:rsidRPr="00B56B17">
              <w:rPr>
                <w:rFonts w:ascii="Arial" w:hAnsi="Arial" w:cs="Arial"/>
              </w:rPr>
              <w:t>Wednesday 5</w:t>
            </w:r>
            <w:r w:rsidRPr="00B56B17">
              <w:rPr>
                <w:rFonts w:ascii="Arial" w:hAnsi="Arial" w:cs="Arial"/>
                <w:vertAlign w:val="superscript"/>
              </w:rPr>
              <w:t>th</w:t>
            </w:r>
            <w:r w:rsidRPr="00B56B17">
              <w:rPr>
                <w:rFonts w:ascii="Arial" w:hAnsi="Arial" w:cs="Arial"/>
              </w:rPr>
              <w:t xml:space="preserve"> February 2025 </w:t>
            </w:r>
          </w:p>
        </w:tc>
      </w:tr>
      <w:tr w:rsidR="00B56B17" w:rsidRPr="00B56B17" w14:paraId="2B637C79" w14:textId="77777777" w:rsidTr="00B56B17">
        <w:trPr>
          <w:trHeight w:val="480"/>
        </w:trPr>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7D92E" w14:textId="77777777" w:rsidR="00B56B17" w:rsidRPr="00B56B17" w:rsidRDefault="00B56B17" w:rsidP="00B56B17">
            <w:pPr>
              <w:rPr>
                <w:rFonts w:ascii="Arial" w:hAnsi="Arial" w:cs="Arial"/>
              </w:rPr>
            </w:pPr>
            <w:r w:rsidRPr="00B56B17">
              <w:rPr>
                <w:rFonts w:ascii="Arial" w:hAnsi="Arial" w:cs="Arial"/>
              </w:rPr>
              <w:t>Wednesday 5</w:t>
            </w:r>
            <w:r w:rsidRPr="00B56B17">
              <w:rPr>
                <w:rFonts w:ascii="Arial" w:hAnsi="Arial" w:cs="Arial"/>
                <w:vertAlign w:val="superscript"/>
              </w:rPr>
              <w:t>th</w:t>
            </w:r>
            <w:r w:rsidRPr="00B56B17">
              <w:rPr>
                <w:rFonts w:ascii="Arial" w:hAnsi="Arial" w:cs="Arial"/>
              </w:rPr>
              <w:t xml:space="preserve"> March 2025 </w:t>
            </w:r>
          </w:p>
        </w:tc>
      </w:tr>
      <w:tr w:rsidR="00B56B17" w:rsidRPr="00B56B17" w14:paraId="156E1942" w14:textId="77777777" w:rsidTr="00B56B17">
        <w:trPr>
          <w:trHeight w:val="465"/>
        </w:trPr>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B01BB" w14:textId="77777777" w:rsidR="00B56B17" w:rsidRPr="00B56B17" w:rsidRDefault="00B56B17" w:rsidP="00B56B17">
            <w:pPr>
              <w:rPr>
                <w:rFonts w:ascii="Arial" w:hAnsi="Arial" w:cs="Arial"/>
              </w:rPr>
            </w:pPr>
            <w:r w:rsidRPr="00B56B17">
              <w:rPr>
                <w:rFonts w:ascii="Arial" w:hAnsi="Arial" w:cs="Arial"/>
              </w:rPr>
              <w:t>Wednesday 26</w:t>
            </w:r>
            <w:r w:rsidRPr="00B56B17">
              <w:rPr>
                <w:rFonts w:ascii="Arial" w:hAnsi="Arial" w:cs="Arial"/>
                <w:vertAlign w:val="superscript"/>
              </w:rPr>
              <w:t>th</w:t>
            </w:r>
            <w:r w:rsidRPr="00B56B17">
              <w:rPr>
                <w:rFonts w:ascii="Arial" w:hAnsi="Arial" w:cs="Arial"/>
              </w:rPr>
              <w:t xml:space="preserve"> March 2025 </w:t>
            </w:r>
          </w:p>
        </w:tc>
      </w:tr>
      <w:tr w:rsidR="00B56B17" w:rsidRPr="00B56B17" w14:paraId="139A622A" w14:textId="77777777" w:rsidTr="00B56B17">
        <w:trPr>
          <w:trHeight w:val="465"/>
        </w:trPr>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BC6E7" w14:textId="77777777" w:rsidR="00B56B17" w:rsidRPr="00B56B17" w:rsidRDefault="00B56B17" w:rsidP="00B56B17">
            <w:pPr>
              <w:rPr>
                <w:rFonts w:ascii="Arial" w:hAnsi="Arial" w:cs="Arial"/>
              </w:rPr>
            </w:pPr>
            <w:r w:rsidRPr="00B56B17">
              <w:rPr>
                <w:rFonts w:ascii="Arial" w:hAnsi="Arial" w:cs="Arial"/>
              </w:rPr>
              <w:t>Wednesday 30</w:t>
            </w:r>
            <w:r w:rsidRPr="00B56B17">
              <w:rPr>
                <w:rFonts w:ascii="Arial" w:hAnsi="Arial" w:cs="Arial"/>
                <w:vertAlign w:val="superscript"/>
              </w:rPr>
              <w:t>th</w:t>
            </w:r>
            <w:r w:rsidRPr="00B56B17">
              <w:rPr>
                <w:rFonts w:ascii="Arial" w:hAnsi="Arial" w:cs="Arial"/>
              </w:rPr>
              <w:t xml:space="preserve"> April 2025 </w:t>
            </w:r>
          </w:p>
        </w:tc>
      </w:tr>
      <w:tr w:rsidR="00B56B17" w:rsidRPr="00B56B17" w14:paraId="3FB8D171" w14:textId="77777777" w:rsidTr="00B56B17">
        <w:trPr>
          <w:trHeight w:val="465"/>
        </w:trPr>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B49B5C" w14:textId="77777777" w:rsidR="00B56B17" w:rsidRPr="00B56B17" w:rsidRDefault="00B56B17" w:rsidP="00B56B17">
            <w:pPr>
              <w:rPr>
                <w:rFonts w:ascii="Arial" w:hAnsi="Arial" w:cs="Arial"/>
              </w:rPr>
            </w:pPr>
            <w:r w:rsidRPr="00B56B17">
              <w:rPr>
                <w:rFonts w:ascii="Arial" w:hAnsi="Arial" w:cs="Arial"/>
              </w:rPr>
              <w:t>Wednesday 11</w:t>
            </w:r>
            <w:r w:rsidRPr="00B56B17">
              <w:rPr>
                <w:rFonts w:ascii="Arial" w:hAnsi="Arial" w:cs="Arial"/>
                <w:vertAlign w:val="superscript"/>
              </w:rPr>
              <w:t>th</w:t>
            </w:r>
            <w:r w:rsidRPr="00B56B17">
              <w:rPr>
                <w:rFonts w:ascii="Arial" w:hAnsi="Arial" w:cs="Arial"/>
              </w:rPr>
              <w:t xml:space="preserve"> June 2025 </w:t>
            </w:r>
          </w:p>
        </w:tc>
      </w:tr>
      <w:tr w:rsidR="00B56B17" w:rsidRPr="00B56B17" w14:paraId="4B6A0E5E" w14:textId="77777777" w:rsidTr="00B56B17">
        <w:trPr>
          <w:trHeight w:val="465"/>
        </w:trPr>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7BEA8" w14:textId="77777777" w:rsidR="00B56B17" w:rsidRPr="00B56B17" w:rsidRDefault="00B56B17" w:rsidP="00B56B17">
            <w:pPr>
              <w:rPr>
                <w:rFonts w:ascii="Arial" w:hAnsi="Arial" w:cs="Arial"/>
              </w:rPr>
            </w:pPr>
            <w:r w:rsidRPr="00B56B17">
              <w:rPr>
                <w:rFonts w:ascii="Arial" w:hAnsi="Arial" w:cs="Arial"/>
              </w:rPr>
              <w:t>Wednesday 2</w:t>
            </w:r>
            <w:r w:rsidRPr="00B56B17">
              <w:rPr>
                <w:rFonts w:ascii="Arial" w:hAnsi="Arial" w:cs="Arial"/>
                <w:vertAlign w:val="superscript"/>
              </w:rPr>
              <w:t>nd</w:t>
            </w:r>
            <w:r w:rsidRPr="00B56B17">
              <w:rPr>
                <w:rFonts w:ascii="Arial" w:hAnsi="Arial" w:cs="Arial"/>
              </w:rPr>
              <w:t xml:space="preserve"> July 2025 </w:t>
            </w:r>
          </w:p>
        </w:tc>
      </w:tr>
    </w:tbl>
    <w:p w14:paraId="3EB61619" w14:textId="77777777" w:rsidR="00B56B17" w:rsidRPr="00B56B17" w:rsidRDefault="00B56B17" w:rsidP="00B56B17">
      <w:r w:rsidRPr="00B56B17">
        <w:t> </w:t>
      </w:r>
    </w:p>
    <w:p w14:paraId="120B4521" w14:textId="77777777" w:rsidR="00310AB1" w:rsidRPr="00D526D6" w:rsidRDefault="00310AB1" w:rsidP="00433213"/>
    <w:sectPr w:rsidR="00310AB1" w:rsidRPr="00D526D6" w:rsidSect="00CA7D28">
      <w:pgSz w:w="11906" w:h="16838"/>
      <w:pgMar w:top="993" w:right="1440" w:bottom="1440" w:left="144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DD9F6" w14:textId="77777777" w:rsidR="004F4707" w:rsidRDefault="004F4707" w:rsidP="00F70F44">
      <w:pPr>
        <w:spacing w:after="0" w:line="240" w:lineRule="auto"/>
      </w:pPr>
      <w:r>
        <w:separator/>
      </w:r>
    </w:p>
  </w:endnote>
  <w:endnote w:type="continuationSeparator" w:id="0">
    <w:p w14:paraId="1AA66701" w14:textId="77777777" w:rsidR="004F4707" w:rsidRDefault="004F4707" w:rsidP="00F7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913858"/>
      <w:docPartObj>
        <w:docPartGallery w:val="Page Numbers (Bottom of Page)"/>
        <w:docPartUnique/>
      </w:docPartObj>
    </w:sdtPr>
    <w:sdtEndPr/>
    <w:sdtContent>
      <w:p w14:paraId="07F96B2D" w14:textId="04377050" w:rsidR="00F70F44" w:rsidRDefault="00F70F44">
        <w:pPr>
          <w:pStyle w:val="Footer"/>
          <w:jc w:val="center"/>
        </w:pPr>
        <w:r>
          <w:fldChar w:fldCharType="begin"/>
        </w:r>
        <w:r>
          <w:instrText>PAGE   \* MERGEFORMAT</w:instrText>
        </w:r>
        <w:r>
          <w:fldChar w:fldCharType="separate"/>
        </w:r>
        <w:r>
          <w:t>2</w:t>
        </w:r>
        <w:r>
          <w:fldChar w:fldCharType="end"/>
        </w:r>
      </w:p>
    </w:sdtContent>
  </w:sdt>
  <w:p w14:paraId="44C8D6B3" w14:textId="77777777" w:rsidR="00F70F44" w:rsidRDefault="00F70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84080" w14:textId="77777777" w:rsidR="004F4707" w:rsidRDefault="004F4707" w:rsidP="00F70F44">
      <w:pPr>
        <w:spacing w:after="0" w:line="240" w:lineRule="auto"/>
      </w:pPr>
      <w:r>
        <w:separator/>
      </w:r>
    </w:p>
  </w:footnote>
  <w:footnote w:type="continuationSeparator" w:id="0">
    <w:p w14:paraId="63C9986E" w14:textId="77777777" w:rsidR="004F4707" w:rsidRDefault="004F4707" w:rsidP="00F70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74863"/>
    <w:multiLevelType w:val="multilevel"/>
    <w:tmpl w:val="AB6600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CD4044"/>
    <w:multiLevelType w:val="multilevel"/>
    <w:tmpl w:val="83583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9674F"/>
    <w:multiLevelType w:val="multilevel"/>
    <w:tmpl w:val="EBF0DF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E50B55"/>
    <w:multiLevelType w:val="multilevel"/>
    <w:tmpl w:val="6BE0E09A"/>
    <w:lvl w:ilvl="0">
      <w:start w:val="1"/>
      <w:numFmt w:val="decimal"/>
      <w:lvlText w:val="%1."/>
      <w:lvlJc w:val="left"/>
      <w:pPr>
        <w:ind w:left="720" w:hanging="360"/>
      </w:pPr>
    </w:lvl>
    <w:lvl w:ilvl="1">
      <w:start w:val="1"/>
      <w:numFmt w:val="decimal"/>
      <w:isLgl/>
      <w:lvlText w:val="%1.%2."/>
      <w:lvlJc w:val="left"/>
      <w:pPr>
        <w:ind w:left="720" w:hanging="360"/>
      </w:pPr>
      <w:rPr>
        <w:b w:val="0"/>
        <w:bCs w:val="0"/>
      </w:rPr>
    </w:lvl>
    <w:lvl w:ilvl="2">
      <w:start w:val="1"/>
      <w:numFmt w:val="lowerLetter"/>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DEB2C8C"/>
    <w:multiLevelType w:val="multilevel"/>
    <w:tmpl w:val="59D6F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0809CC"/>
    <w:multiLevelType w:val="multilevel"/>
    <w:tmpl w:val="2B409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C0109C"/>
    <w:multiLevelType w:val="multilevel"/>
    <w:tmpl w:val="A50A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271F7"/>
    <w:multiLevelType w:val="multilevel"/>
    <w:tmpl w:val="E0EC7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D90706"/>
    <w:multiLevelType w:val="multilevel"/>
    <w:tmpl w:val="4AC6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322F5E"/>
    <w:multiLevelType w:val="multilevel"/>
    <w:tmpl w:val="BEBC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994355">
    <w:abstractNumId w:val="2"/>
  </w:num>
  <w:num w:numId="2" w16cid:durableId="9818407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7344962">
    <w:abstractNumId w:val="0"/>
  </w:num>
  <w:num w:numId="4" w16cid:durableId="607354120">
    <w:abstractNumId w:val="6"/>
  </w:num>
  <w:num w:numId="5" w16cid:durableId="1614050736">
    <w:abstractNumId w:val="9"/>
  </w:num>
  <w:num w:numId="6" w16cid:durableId="545220343">
    <w:abstractNumId w:val="8"/>
  </w:num>
  <w:num w:numId="7" w16cid:durableId="1762484984">
    <w:abstractNumId w:val="5"/>
  </w:num>
  <w:num w:numId="8" w16cid:durableId="737437288">
    <w:abstractNumId w:val="1"/>
  </w:num>
  <w:num w:numId="9" w16cid:durableId="449204911">
    <w:abstractNumId w:val="7"/>
  </w:num>
  <w:num w:numId="10" w16cid:durableId="908223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27"/>
    <w:rsid w:val="00011586"/>
    <w:rsid w:val="00016913"/>
    <w:rsid w:val="00017A58"/>
    <w:rsid w:val="000275E3"/>
    <w:rsid w:val="00070191"/>
    <w:rsid w:val="00072728"/>
    <w:rsid w:val="00080C79"/>
    <w:rsid w:val="00083F79"/>
    <w:rsid w:val="00085BE8"/>
    <w:rsid w:val="0008734E"/>
    <w:rsid w:val="00093754"/>
    <w:rsid w:val="000A3BF9"/>
    <w:rsid w:val="000A754F"/>
    <w:rsid w:val="000B0362"/>
    <w:rsid w:val="000B55D8"/>
    <w:rsid w:val="000B78C9"/>
    <w:rsid w:val="000E3819"/>
    <w:rsid w:val="000F3176"/>
    <w:rsid w:val="000F6678"/>
    <w:rsid w:val="00112C49"/>
    <w:rsid w:val="0012134A"/>
    <w:rsid w:val="0012147F"/>
    <w:rsid w:val="0013389B"/>
    <w:rsid w:val="00133A18"/>
    <w:rsid w:val="001645BD"/>
    <w:rsid w:val="0016706B"/>
    <w:rsid w:val="0017021F"/>
    <w:rsid w:val="0018771D"/>
    <w:rsid w:val="00195E26"/>
    <w:rsid w:val="00196FC5"/>
    <w:rsid w:val="001A5A4B"/>
    <w:rsid w:val="001A73A4"/>
    <w:rsid w:val="001B0983"/>
    <w:rsid w:val="001B1D87"/>
    <w:rsid w:val="001B46E9"/>
    <w:rsid w:val="001B4D89"/>
    <w:rsid w:val="001B5B43"/>
    <w:rsid w:val="001B7AF5"/>
    <w:rsid w:val="001C3DBF"/>
    <w:rsid w:val="001E462E"/>
    <w:rsid w:val="001F3A0F"/>
    <w:rsid w:val="001F667C"/>
    <w:rsid w:val="00204995"/>
    <w:rsid w:val="00230F27"/>
    <w:rsid w:val="0024049F"/>
    <w:rsid w:val="0027101D"/>
    <w:rsid w:val="00282012"/>
    <w:rsid w:val="00283EF5"/>
    <w:rsid w:val="002A3774"/>
    <w:rsid w:val="002A6A95"/>
    <w:rsid w:val="002B372A"/>
    <w:rsid w:val="002B426F"/>
    <w:rsid w:val="002C09C9"/>
    <w:rsid w:val="002C6FD2"/>
    <w:rsid w:val="002C7215"/>
    <w:rsid w:val="002D2DF5"/>
    <w:rsid w:val="002E638C"/>
    <w:rsid w:val="002E68FD"/>
    <w:rsid w:val="002F39DB"/>
    <w:rsid w:val="002F5DB8"/>
    <w:rsid w:val="00301595"/>
    <w:rsid w:val="00310AB1"/>
    <w:rsid w:val="00321840"/>
    <w:rsid w:val="0037157C"/>
    <w:rsid w:val="0037184E"/>
    <w:rsid w:val="00372AF8"/>
    <w:rsid w:val="00374955"/>
    <w:rsid w:val="00392E3E"/>
    <w:rsid w:val="003A3AFF"/>
    <w:rsid w:val="003C0864"/>
    <w:rsid w:val="003C22FC"/>
    <w:rsid w:val="003C2839"/>
    <w:rsid w:val="003D06D8"/>
    <w:rsid w:val="003D22C0"/>
    <w:rsid w:val="003D2F3C"/>
    <w:rsid w:val="003D3236"/>
    <w:rsid w:val="003D7208"/>
    <w:rsid w:val="00414B3C"/>
    <w:rsid w:val="00424295"/>
    <w:rsid w:val="004276DC"/>
    <w:rsid w:val="00427B3F"/>
    <w:rsid w:val="004319E2"/>
    <w:rsid w:val="00433213"/>
    <w:rsid w:val="0043728C"/>
    <w:rsid w:val="00443D47"/>
    <w:rsid w:val="004603E7"/>
    <w:rsid w:val="00477E46"/>
    <w:rsid w:val="00490551"/>
    <w:rsid w:val="004A2ECB"/>
    <w:rsid w:val="004A5018"/>
    <w:rsid w:val="004B2835"/>
    <w:rsid w:val="004B44DB"/>
    <w:rsid w:val="004C15E3"/>
    <w:rsid w:val="004C53ED"/>
    <w:rsid w:val="004C64F2"/>
    <w:rsid w:val="004F4707"/>
    <w:rsid w:val="004F4C1C"/>
    <w:rsid w:val="005060F0"/>
    <w:rsid w:val="0051365E"/>
    <w:rsid w:val="00515BA3"/>
    <w:rsid w:val="0056739A"/>
    <w:rsid w:val="005679A3"/>
    <w:rsid w:val="0058046F"/>
    <w:rsid w:val="005948EE"/>
    <w:rsid w:val="00594C1A"/>
    <w:rsid w:val="005A4D88"/>
    <w:rsid w:val="005A5170"/>
    <w:rsid w:val="005A67F7"/>
    <w:rsid w:val="005B3355"/>
    <w:rsid w:val="005D66A4"/>
    <w:rsid w:val="005E146D"/>
    <w:rsid w:val="00602742"/>
    <w:rsid w:val="00604EF9"/>
    <w:rsid w:val="00605265"/>
    <w:rsid w:val="006152C9"/>
    <w:rsid w:val="00617F64"/>
    <w:rsid w:val="006215C9"/>
    <w:rsid w:val="0062434F"/>
    <w:rsid w:val="00647037"/>
    <w:rsid w:val="00667451"/>
    <w:rsid w:val="00672B60"/>
    <w:rsid w:val="0068402F"/>
    <w:rsid w:val="006867E8"/>
    <w:rsid w:val="00687BE4"/>
    <w:rsid w:val="006C5271"/>
    <w:rsid w:val="006F4C9F"/>
    <w:rsid w:val="00715668"/>
    <w:rsid w:val="00733517"/>
    <w:rsid w:val="00733677"/>
    <w:rsid w:val="00760707"/>
    <w:rsid w:val="00762A40"/>
    <w:rsid w:val="007A2F33"/>
    <w:rsid w:val="007A73B1"/>
    <w:rsid w:val="007B0956"/>
    <w:rsid w:val="007B1DE8"/>
    <w:rsid w:val="007B5250"/>
    <w:rsid w:val="007D51FC"/>
    <w:rsid w:val="007E469B"/>
    <w:rsid w:val="00806644"/>
    <w:rsid w:val="00813AF3"/>
    <w:rsid w:val="00833146"/>
    <w:rsid w:val="00842E5E"/>
    <w:rsid w:val="00856098"/>
    <w:rsid w:val="008A140C"/>
    <w:rsid w:val="008A3B84"/>
    <w:rsid w:val="008B05A7"/>
    <w:rsid w:val="008C0C11"/>
    <w:rsid w:val="008C6882"/>
    <w:rsid w:val="008F073A"/>
    <w:rsid w:val="008F0D7A"/>
    <w:rsid w:val="008F357B"/>
    <w:rsid w:val="008F3725"/>
    <w:rsid w:val="008F6B10"/>
    <w:rsid w:val="00902E90"/>
    <w:rsid w:val="009040B2"/>
    <w:rsid w:val="009252ED"/>
    <w:rsid w:val="00926A92"/>
    <w:rsid w:val="009306B0"/>
    <w:rsid w:val="009341B9"/>
    <w:rsid w:val="009411A5"/>
    <w:rsid w:val="00945A92"/>
    <w:rsid w:val="00963885"/>
    <w:rsid w:val="00964CD4"/>
    <w:rsid w:val="00977A1B"/>
    <w:rsid w:val="00986F64"/>
    <w:rsid w:val="009967C5"/>
    <w:rsid w:val="009C1161"/>
    <w:rsid w:val="009C493D"/>
    <w:rsid w:val="009D1BA2"/>
    <w:rsid w:val="009D3442"/>
    <w:rsid w:val="009D4D89"/>
    <w:rsid w:val="009D7C2B"/>
    <w:rsid w:val="009F0786"/>
    <w:rsid w:val="009F19F8"/>
    <w:rsid w:val="00A209F9"/>
    <w:rsid w:val="00A441F4"/>
    <w:rsid w:val="00A45DCC"/>
    <w:rsid w:val="00A513E0"/>
    <w:rsid w:val="00A8026D"/>
    <w:rsid w:val="00A95621"/>
    <w:rsid w:val="00AA17E4"/>
    <w:rsid w:val="00AC066E"/>
    <w:rsid w:val="00AE22C6"/>
    <w:rsid w:val="00AF0C41"/>
    <w:rsid w:val="00AF220C"/>
    <w:rsid w:val="00AF5BE1"/>
    <w:rsid w:val="00B00D2A"/>
    <w:rsid w:val="00B04749"/>
    <w:rsid w:val="00B06851"/>
    <w:rsid w:val="00B21873"/>
    <w:rsid w:val="00B26E57"/>
    <w:rsid w:val="00B46358"/>
    <w:rsid w:val="00B4731C"/>
    <w:rsid w:val="00B5672F"/>
    <w:rsid w:val="00B56B17"/>
    <w:rsid w:val="00B64955"/>
    <w:rsid w:val="00B72F4F"/>
    <w:rsid w:val="00B755BE"/>
    <w:rsid w:val="00B81DA3"/>
    <w:rsid w:val="00BA0872"/>
    <w:rsid w:val="00BA40A4"/>
    <w:rsid w:val="00BB31C2"/>
    <w:rsid w:val="00BB3C64"/>
    <w:rsid w:val="00BC758C"/>
    <w:rsid w:val="00BD19F1"/>
    <w:rsid w:val="00BD26C6"/>
    <w:rsid w:val="00BF1D09"/>
    <w:rsid w:val="00BF3CCA"/>
    <w:rsid w:val="00C04DF2"/>
    <w:rsid w:val="00C12F72"/>
    <w:rsid w:val="00C223D1"/>
    <w:rsid w:val="00C22D44"/>
    <w:rsid w:val="00C25D37"/>
    <w:rsid w:val="00C414FC"/>
    <w:rsid w:val="00C45E40"/>
    <w:rsid w:val="00C609A1"/>
    <w:rsid w:val="00C61F46"/>
    <w:rsid w:val="00C90B6E"/>
    <w:rsid w:val="00C92DE0"/>
    <w:rsid w:val="00CA43E2"/>
    <w:rsid w:val="00CA72B7"/>
    <w:rsid w:val="00CA7D28"/>
    <w:rsid w:val="00CB2A2B"/>
    <w:rsid w:val="00CC2CBC"/>
    <w:rsid w:val="00CC6647"/>
    <w:rsid w:val="00CD1F54"/>
    <w:rsid w:val="00D03044"/>
    <w:rsid w:val="00D26F04"/>
    <w:rsid w:val="00D50155"/>
    <w:rsid w:val="00D504AC"/>
    <w:rsid w:val="00D51804"/>
    <w:rsid w:val="00D526D6"/>
    <w:rsid w:val="00D55130"/>
    <w:rsid w:val="00D628FB"/>
    <w:rsid w:val="00D75528"/>
    <w:rsid w:val="00D8493D"/>
    <w:rsid w:val="00D94343"/>
    <w:rsid w:val="00DA603F"/>
    <w:rsid w:val="00DC09FF"/>
    <w:rsid w:val="00DC450C"/>
    <w:rsid w:val="00DE5CA0"/>
    <w:rsid w:val="00DF46FF"/>
    <w:rsid w:val="00E11738"/>
    <w:rsid w:val="00E26402"/>
    <w:rsid w:val="00E27E03"/>
    <w:rsid w:val="00E34354"/>
    <w:rsid w:val="00E42699"/>
    <w:rsid w:val="00E442B3"/>
    <w:rsid w:val="00E44BBD"/>
    <w:rsid w:val="00E46D5E"/>
    <w:rsid w:val="00E56A73"/>
    <w:rsid w:val="00E601C4"/>
    <w:rsid w:val="00E61DDD"/>
    <w:rsid w:val="00E7133C"/>
    <w:rsid w:val="00E72CFA"/>
    <w:rsid w:val="00E7629D"/>
    <w:rsid w:val="00E83773"/>
    <w:rsid w:val="00E86AB4"/>
    <w:rsid w:val="00E92524"/>
    <w:rsid w:val="00EA5458"/>
    <w:rsid w:val="00EC317A"/>
    <w:rsid w:val="00EC3971"/>
    <w:rsid w:val="00EC4CEC"/>
    <w:rsid w:val="00EC6183"/>
    <w:rsid w:val="00EE260B"/>
    <w:rsid w:val="00EF062C"/>
    <w:rsid w:val="00F42DF2"/>
    <w:rsid w:val="00F70F44"/>
    <w:rsid w:val="00F710D0"/>
    <w:rsid w:val="00F71502"/>
    <w:rsid w:val="00F7150D"/>
    <w:rsid w:val="00F84741"/>
    <w:rsid w:val="00F85579"/>
    <w:rsid w:val="00F90BEF"/>
    <w:rsid w:val="00F91F8E"/>
    <w:rsid w:val="00F96A2B"/>
    <w:rsid w:val="00FA33AC"/>
    <w:rsid w:val="00FA6CB0"/>
    <w:rsid w:val="00FB12D6"/>
    <w:rsid w:val="00FB73FE"/>
    <w:rsid w:val="00FC5C4B"/>
    <w:rsid w:val="00FD495F"/>
    <w:rsid w:val="00FE305D"/>
    <w:rsid w:val="00FE4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EE1C9"/>
  <w15:chartTrackingRefBased/>
  <w15:docId w15:val="{0CB6621C-A4A7-4717-A0CC-3643B9C7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28"/>
  </w:style>
  <w:style w:type="paragraph" w:styleId="Heading1">
    <w:name w:val="heading 1"/>
    <w:basedOn w:val="Normal"/>
    <w:next w:val="Normal"/>
    <w:link w:val="Heading1Char"/>
    <w:uiPriority w:val="9"/>
    <w:qFormat/>
    <w:rsid w:val="00CA7D28"/>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CA7D28"/>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D28"/>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D28"/>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CA7D28"/>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CA7D28"/>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CA7D28"/>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CA7D28"/>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CA7D28"/>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D28"/>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CA7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D28"/>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D28"/>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CA7D28"/>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CA7D28"/>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CA7D28"/>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CA7D28"/>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CA7D28"/>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CA7D28"/>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CA7D28"/>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CA7D28"/>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CA7D28"/>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CA7D28"/>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CA7D28"/>
    <w:rPr>
      <w:color w:val="0E2841" w:themeColor="text2"/>
      <w:sz w:val="24"/>
      <w:szCs w:val="24"/>
    </w:rPr>
  </w:style>
  <w:style w:type="paragraph" w:styleId="ListParagraph">
    <w:name w:val="List Paragraph"/>
    <w:basedOn w:val="Normal"/>
    <w:uiPriority w:val="34"/>
    <w:qFormat/>
    <w:rsid w:val="00230F27"/>
    <w:pPr>
      <w:ind w:left="720"/>
      <w:contextualSpacing/>
    </w:pPr>
  </w:style>
  <w:style w:type="character" w:styleId="IntenseEmphasis">
    <w:name w:val="Intense Emphasis"/>
    <w:basedOn w:val="DefaultParagraphFont"/>
    <w:uiPriority w:val="21"/>
    <w:qFormat/>
    <w:rsid w:val="00CA7D28"/>
    <w:rPr>
      <w:b/>
      <w:bCs/>
      <w:i/>
      <w:iCs/>
    </w:rPr>
  </w:style>
  <w:style w:type="paragraph" w:styleId="IntenseQuote">
    <w:name w:val="Intense Quote"/>
    <w:basedOn w:val="Normal"/>
    <w:next w:val="Normal"/>
    <w:link w:val="IntenseQuoteChar"/>
    <w:uiPriority w:val="30"/>
    <w:qFormat/>
    <w:rsid w:val="00CA7D28"/>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CA7D28"/>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CA7D28"/>
    <w:rPr>
      <w:b/>
      <w:bCs/>
      <w:smallCaps/>
      <w:color w:val="0E2841" w:themeColor="text2"/>
      <w:u w:val="single"/>
    </w:rPr>
  </w:style>
  <w:style w:type="paragraph" w:styleId="TOCHeading">
    <w:name w:val="TOC Heading"/>
    <w:basedOn w:val="Heading1"/>
    <w:next w:val="Normal"/>
    <w:uiPriority w:val="39"/>
    <w:unhideWhenUsed/>
    <w:qFormat/>
    <w:rsid w:val="00CA7D28"/>
    <w:pPr>
      <w:outlineLvl w:val="9"/>
    </w:pPr>
  </w:style>
  <w:style w:type="paragraph" w:styleId="TOC1">
    <w:name w:val="toc 1"/>
    <w:basedOn w:val="Normal"/>
    <w:next w:val="Normal"/>
    <w:autoRedefine/>
    <w:uiPriority w:val="39"/>
    <w:unhideWhenUsed/>
    <w:rsid w:val="00230F27"/>
    <w:pPr>
      <w:spacing w:after="100"/>
    </w:pPr>
  </w:style>
  <w:style w:type="paragraph" w:styleId="TOC2">
    <w:name w:val="toc 2"/>
    <w:basedOn w:val="Normal"/>
    <w:next w:val="Normal"/>
    <w:autoRedefine/>
    <w:uiPriority w:val="39"/>
    <w:unhideWhenUsed/>
    <w:rsid w:val="00230F27"/>
    <w:pPr>
      <w:spacing w:after="100"/>
      <w:ind w:left="220"/>
    </w:pPr>
  </w:style>
  <w:style w:type="character" w:styleId="Hyperlink">
    <w:name w:val="Hyperlink"/>
    <w:basedOn w:val="DefaultParagraphFont"/>
    <w:uiPriority w:val="99"/>
    <w:unhideWhenUsed/>
    <w:rsid w:val="00230F27"/>
    <w:rPr>
      <w:color w:val="467886" w:themeColor="hyperlink"/>
      <w:u w:val="single"/>
    </w:rPr>
  </w:style>
  <w:style w:type="table" w:styleId="TableGrid">
    <w:name w:val="Table Grid"/>
    <w:basedOn w:val="TableNormal"/>
    <w:uiPriority w:val="39"/>
    <w:rsid w:val="00443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44"/>
  </w:style>
  <w:style w:type="paragraph" w:styleId="Footer">
    <w:name w:val="footer"/>
    <w:basedOn w:val="Normal"/>
    <w:link w:val="FooterChar"/>
    <w:uiPriority w:val="99"/>
    <w:unhideWhenUsed/>
    <w:rsid w:val="00F70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44"/>
  </w:style>
  <w:style w:type="paragraph" w:styleId="Revision">
    <w:name w:val="Revision"/>
    <w:hidden/>
    <w:uiPriority w:val="99"/>
    <w:semiHidden/>
    <w:rsid w:val="00D8493D"/>
    <w:pPr>
      <w:spacing w:after="0" w:line="240" w:lineRule="auto"/>
    </w:pPr>
  </w:style>
  <w:style w:type="character" w:styleId="CommentReference">
    <w:name w:val="annotation reference"/>
    <w:basedOn w:val="DefaultParagraphFont"/>
    <w:uiPriority w:val="99"/>
    <w:semiHidden/>
    <w:unhideWhenUsed/>
    <w:rsid w:val="0068402F"/>
    <w:rPr>
      <w:sz w:val="16"/>
      <w:szCs w:val="16"/>
    </w:rPr>
  </w:style>
  <w:style w:type="paragraph" w:styleId="CommentText">
    <w:name w:val="annotation text"/>
    <w:basedOn w:val="Normal"/>
    <w:link w:val="CommentTextChar"/>
    <w:uiPriority w:val="99"/>
    <w:unhideWhenUsed/>
    <w:rsid w:val="0068402F"/>
    <w:pPr>
      <w:spacing w:line="240" w:lineRule="auto"/>
    </w:pPr>
    <w:rPr>
      <w:sz w:val="20"/>
      <w:szCs w:val="20"/>
    </w:rPr>
  </w:style>
  <w:style w:type="character" w:customStyle="1" w:styleId="CommentTextChar">
    <w:name w:val="Comment Text Char"/>
    <w:basedOn w:val="DefaultParagraphFont"/>
    <w:link w:val="CommentText"/>
    <w:uiPriority w:val="99"/>
    <w:rsid w:val="0068402F"/>
    <w:rPr>
      <w:sz w:val="20"/>
      <w:szCs w:val="20"/>
    </w:rPr>
  </w:style>
  <w:style w:type="paragraph" w:styleId="CommentSubject">
    <w:name w:val="annotation subject"/>
    <w:basedOn w:val="CommentText"/>
    <w:next w:val="CommentText"/>
    <w:link w:val="CommentSubjectChar"/>
    <w:uiPriority w:val="99"/>
    <w:semiHidden/>
    <w:unhideWhenUsed/>
    <w:rsid w:val="0068402F"/>
    <w:rPr>
      <w:b/>
      <w:bCs/>
    </w:rPr>
  </w:style>
  <w:style w:type="character" w:customStyle="1" w:styleId="CommentSubjectChar">
    <w:name w:val="Comment Subject Char"/>
    <w:basedOn w:val="CommentTextChar"/>
    <w:link w:val="CommentSubject"/>
    <w:uiPriority w:val="99"/>
    <w:semiHidden/>
    <w:rsid w:val="0068402F"/>
    <w:rPr>
      <w:b/>
      <w:bCs/>
      <w:sz w:val="20"/>
      <w:szCs w:val="20"/>
    </w:rPr>
  </w:style>
  <w:style w:type="character" w:styleId="UnresolvedMention">
    <w:name w:val="Unresolved Mention"/>
    <w:basedOn w:val="DefaultParagraphFont"/>
    <w:uiPriority w:val="99"/>
    <w:semiHidden/>
    <w:unhideWhenUsed/>
    <w:rsid w:val="00016913"/>
    <w:rPr>
      <w:color w:val="605E5C"/>
      <w:shd w:val="clear" w:color="auto" w:fill="E1DFDD"/>
    </w:rPr>
  </w:style>
  <w:style w:type="paragraph" w:styleId="Caption">
    <w:name w:val="caption"/>
    <w:basedOn w:val="Normal"/>
    <w:next w:val="Normal"/>
    <w:uiPriority w:val="35"/>
    <w:semiHidden/>
    <w:unhideWhenUsed/>
    <w:qFormat/>
    <w:rsid w:val="00CA7D28"/>
    <w:pPr>
      <w:spacing w:line="240" w:lineRule="auto"/>
    </w:pPr>
    <w:rPr>
      <w:b/>
      <w:bCs/>
      <w:smallCaps/>
      <w:color w:val="0E2841" w:themeColor="text2"/>
    </w:rPr>
  </w:style>
  <w:style w:type="character" w:styleId="Strong">
    <w:name w:val="Strong"/>
    <w:basedOn w:val="DefaultParagraphFont"/>
    <w:uiPriority w:val="22"/>
    <w:qFormat/>
    <w:rsid w:val="00CA7D28"/>
    <w:rPr>
      <w:b/>
      <w:bCs/>
    </w:rPr>
  </w:style>
  <w:style w:type="character" w:styleId="Emphasis">
    <w:name w:val="Emphasis"/>
    <w:basedOn w:val="DefaultParagraphFont"/>
    <w:uiPriority w:val="20"/>
    <w:qFormat/>
    <w:rsid w:val="00CA7D28"/>
    <w:rPr>
      <w:i/>
      <w:iCs/>
    </w:rPr>
  </w:style>
  <w:style w:type="paragraph" w:styleId="NoSpacing">
    <w:name w:val="No Spacing"/>
    <w:uiPriority w:val="1"/>
    <w:qFormat/>
    <w:rsid w:val="00CA7D28"/>
    <w:pPr>
      <w:spacing w:after="0" w:line="240" w:lineRule="auto"/>
    </w:pPr>
  </w:style>
  <w:style w:type="character" w:styleId="SubtleEmphasis">
    <w:name w:val="Subtle Emphasis"/>
    <w:basedOn w:val="DefaultParagraphFont"/>
    <w:uiPriority w:val="19"/>
    <w:qFormat/>
    <w:rsid w:val="00CA7D28"/>
    <w:rPr>
      <w:i/>
      <w:iCs/>
      <w:color w:val="595959" w:themeColor="text1" w:themeTint="A6"/>
    </w:rPr>
  </w:style>
  <w:style w:type="character" w:styleId="SubtleReference">
    <w:name w:val="Subtle Reference"/>
    <w:basedOn w:val="DefaultParagraphFont"/>
    <w:uiPriority w:val="31"/>
    <w:qFormat/>
    <w:rsid w:val="00CA7D28"/>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CA7D28"/>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239190">
      <w:bodyDiv w:val="1"/>
      <w:marLeft w:val="0"/>
      <w:marRight w:val="0"/>
      <w:marTop w:val="0"/>
      <w:marBottom w:val="0"/>
      <w:divBdr>
        <w:top w:val="none" w:sz="0" w:space="0" w:color="auto"/>
        <w:left w:val="none" w:sz="0" w:space="0" w:color="auto"/>
        <w:bottom w:val="none" w:sz="0" w:space="0" w:color="auto"/>
        <w:right w:val="none" w:sz="0" w:space="0" w:color="auto"/>
      </w:divBdr>
    </w:div>
    <w:div w:id="680663428">
      <w:bodyDiv w:val="1"/>
      <w:marLeft w:val="0"/>
      <w:marRight w:val="0"/>
      <w:marTop w:val="0"/>
      <w:marBottom w:val="0"/>
      <w:divBdr>
        <w:top w:val="none" w:sz="0" w:space="0" w:color="auto"/>
        <w:left w:val="none" w:sz="0" w:space="0" w:color="auto"/>
        <w:bottom w:val="none" w:sz="0" w:space="0" w:color="auto"/>
        <w:right w:val="none" w:sz="0" w:space="0" w:color="auto"/>
      </w:divBdr>
      <w:divsChild>
        <w:div w:id="917055525">
          <w:marLeft w:val="0"/>
          <w:marRight w:val="0"/>
          <w:marTop w:val="0"/>
          <w:marBottom w:val="0"/>
          <w:divBdr>
            <w:top w:val="none" w:sz="0" w:space="0" w:color="auto"/>
            <w:left w:val="none" w:sz="0" w:space="0" w:color="auto"/>
            <w:bottom w:val="none" w:sz="0" w:space="0" w:color="auto"/>
            <w:right w:val="none" w:sz="0" w:space="0" w:color="auto"/>
          </w:divBdr>
        </w:div>
        <w:div w:id="905149148">
          <w:marLeft w:val="0"/>
          <w:marRight w:val="0"/>
          <w:marTop w:val="0"/>
          <w:marBottom w:val="0"/>
          <w:divBdr>
            <w:top w:val="none" w:sz="0" w:space="0" w:color="auto"/>
            <w:left w:val="none" w:sz="0" w:space="0" w:color="auto"/>
            <w:bottom w:val="none" w:sz="0" w:space="0" w:color="auto"/>
            <w:right w:val="none" w:sz="0" w:space="0" w:color="auto"/>
          </w:divBdr>
        </w:div>
        <w:div w:id="723410017">
          <w:marLeft w:val="0"/>
          <w:marRight w:val="0"/>
          <w:marTop w:val="0"/>
          <w:marBottom w:val="0"/>
          <w:divBdr>
            <w:top w:val="none" w:sz="0" w:space="0" w:color="auto"/>
            <w:left w:val="none" w:sz="0" w:space="0" w:color="auto"/>
            <w:bottom w:val="none" w:sz="0" w:space="0" w:color="auto"/>
            <w:right w:val="none" w:sz="0" w:space="0" w:color="auto"/>
          </w:divBdr>
          <w:divsChild>
            <w:div w:id="1650818451">
              <w:marLeft w:val="-75"/>
              <w:marRight w:val="0"/>
              <w:marTop w:val="30"/>
              <w:marBottom w:val="30"/>
              <w:divBdr>
                <w:top w:val="none" w:sz="0" w:space="0" w:color="auto"/>
                <w:left w:val="none" w:sz="0" w:space="0" w:color="auto"/>
                <w:bottom w:val="none" w:sz="0" w:space="0" w:color="auto"/>
                <w:right w:val="none" w:sz="0" w:space="0" w:color="auto"/>
              </w:divBdr>
              <w:divsChild>
                <w:div w:id="1323923777">
                  <w:marLeft w:val="0"/>
                  <w:marRight w:val="0"/>
                  <w:marTop w:val="0"/>
                  <w:marBottom w:val="0"/>
                  <w:divBdr>
                    <w:top w:val="none" w:sz="0" w:space="0" w:color="auto"/>
                    <w:left w:val="none" w:sz="0" w:space="0" w:color="auto"/>
                    <w:bottom w:val="none" w:sz="0" w:space="0" w:color="auto"/>
                    <w:right w:val="none" w:sz="0" w:space="0" w:color="auto"/>
                  </w:divBdr>
                  <w:divsChild>
                    <w:div w:id="2063629406">
                      <w:marLeft w:val="0"/>
                      <w:marRight w:val="0"/>
                      <w:marTop w:val="0"/>
                      <w:marBottom w:val="0"/>
                      <w:divBdr>
                        <w:top w:val="none" w:sz="0" w:space="0" w:color="auto"/>
                        <w:left w:val="none" w:sz="0" w:space="0" w:color="auto"/>
                        <w:bottom w:val="none" w:sz="0" w:space="0" w:color="auto"/>
                        <w:right w:val="none" w:sz="0" w:space="0" w:color="auto"/>
                      </w:divBdr>
                    </w:div>
                  </w:divsChild>
                </w:div>
                <w:div w:id="1051542411">
                  <w:marLeft w:val="0"/>
                  <w:marRight w:val="0"/>
                  <w:marTop w:val="0"/>
                  <w:marBottom w:val="0"/>
                  <w:divBdr>
                    <w:top w:val="none" w:sz="0" w:space="0" w:color="auto"/>
                    <w:left w:val="none" w:sz="0" w:space="0" w:color="auto"/>
                    <w:bottom w:val="none" w:sz="0" w:space="0" w:color="auto"/>
                    <w:right w:val="none" w:sz="0" w:space="0" w:color="auto"/>
                  </w:divBdr>
                  <w:divsChild>
                    <w:div w:id="1702244861">
                      <w:marLeft w:val="0"/>
                      <w:marRight w:val="0"/>
                      <w:marTop w:val="0"/>
                      <w:marBottom w:val="0"/>
                      <w:divBdr>
                        <w:top w:val="none" w:sz="0" w:space="0" w:color="auto"/>
                        <w:left w:val="none" w:sz="0" w:space="0" w:color="auto"/>
                        <w:bottom w:val="none" w:sz="0" w:space="0" w:color="auto"/>
                        <w:right w:val="none" w:sz="0" w:space="0" w:color="auto"/>
                      </w:divBdr>
                    </w:div>
                  </w:divsChild>
                </w:div>
                <w:div w:id="189733375">
                  <w:marLeft w:val="0"/>
                  <w:marRight w:val="0"/>
                  <w:marTop w:val="0"/>
                  <w:marBottom w:val="0"/>
                  <w:divBdr>
                    <w:top w:val="none" w:sz="0" w:space="0" w:color="auto"/>
                    <w:left w:val="none" w:sz="0" w:space="0" w:color="auto"/>
                    <w:bottom w:val="none" w:sz="0" w:space="0" w:color="auto"/>
                    <w:right w:val="none" w:sz="0" w:space="0" w:color="auto"/>
                  </w:divBdr>
                  <w:divsChild>
                    <w:div w:id="1224219046">
                      <w:marLeft w:val="0"/>
                      <w:marRight w:val="0"/>
                      <w:marTop w:val="0"/>
                      <w:marBottom w:val="0"/>
                      <w:divBdr>
                        <w:top w:val="none" w:sz="0" w:space="0" w:color="auto"/>
                        <w:left w:val="none" w:sz="0" w:space="0" w:color="auto"/>
                        <w:bottom w:val="none" w:sz="0" w:space="0" w:color="auto"/>
                        <w:right w:val="none" w:sz="0" w:space="0" w:color="auto"/>
                      </w:divBdr>
                    </w:div>
                  </w:divsChild>
                </w:div>
                <w:div w:id="289092357">
                  <w:marLeft w:val="0"/>
                  <w:marRight w:val="0"/>
                  <w:marTop w:val="0"/>
                  <w:marBottom w:val="0"/>
                  <w:divBdr>
                    <w:top w:val="none" w:sz="0" w:space="0" w:color="auto"/>
                    <w:left w:val="none" w:sz="0" w:space="0" w:color="auto"/>
                    <w:bottom w:val="none" w:sz="0" w:space="0" w:color="auto"/>
                    <w:right w:val="none" w:sz="0" w:space="0" w:color="auto"/>
                  </w:divBdr>
                  <w:divsChild>
                    <w:div w:id="1637876807">
                      <w:marLeft w:val="0"/>
                      <w:marRight w:val="0"/>
                      <w:marTop w:val="0"/>
                      <w:marBottom w:val="0"/>
                      <w:divBdr>
                        <w:top w:val="none" w:sz="0" w:space="0" w:color="auto"/>
                        <w:left w:val="none" w:sz="0" w:space="0" w:color="auto"/>
                        <w:bottom w:val="none" w:sz="0" w:space="0" w:color="auto"/>
                        <w:right w:val="none" w:sz="0" w:space="0" w:color="auto"/>
                      </w:divBdr>
                    </w:div>
                  </w:divsChild>
                </w:div>
                <w:div w:id="1090544872">
                  <w:marLeft w:val="0"/>
                  <w:marRight w:val="0"/>
                  <w:marTop w:val="0"/>
                  <w:marBottom w:val="0"/>
                  <w:divBdr>
                    <w:top w:val="none" w:sz="0" w:space="0" w:color="auto"/>
                    <w:left w:val="none" w:sz="0" w:space="0" w:color="auto"/>
                    <w:bottom w:val="none" w:sz="0" w:space="0" w:color="auto"/>
                    <w:right w:val="none" w:sz="0" w:space="0" w:color="auto"/>
                  </w:divBdr>
                  <w:divsChild>
                    <w:div w:id="1351418748">
                      <w:marLeft w:val="0"/>
                      <w:marRight w:val="0"/>
                      <w:marTop w:val="0"/>
                      <w:marBottom w:val="0"/>
                      <w:divBdr>
                        <w:top w:val="none" w:sz="0" w:space="0" w:color="auto"/>
                        <w:left w:val="none" w:sz="0" w:space="0" w:color="auto"/>
                        <w:bottom w:val="none" w:sz="0" w:space="0" w:color="auto"/>
                        <w:right w:val="none" w:sz="0" w:space="0" w:color="auto"/>
                      </w:divBdr>
                    </w:div>
                  </w:divsChild>
                </w:div>
                <w:div w:id="1377505510">
                  <w:marLeft w:val="0"/>
                  <w:marRight w:val="0"/>
                  <w:marTop w:val="0"/>
                  <w:marBottom w:val="0"/>
                  <w:divBdr>
                    <w:top w:val="none" w:sz="0" w:space="0" w:color="auto"/>
                    <w:left w:val="none" w:sz="0" w:space="0" w:color="auto"/>
                    <w:bottom w:val="none" w:sz="0" w:space="0" w:color="auto"/>
                    <w:right w:val="none" w:sz="0" w:space="0" w:color="auto"/>
                  </w:divBdr>
                  <w:divsChild>
                    <w:div w:id="860170625">
                      <w:marLeft w:val="0"/>
                      <w:marRight w:val="0"/>
                      <w:marTop w:val="0"/>
                      <w:marBottom w:val="0"/>
                      <w:divBdr>
                        <w:top w:val="none" w:sz="0" w:space="0" w:color="auto"/>
                        <w:left w:val="none" w:sz="0" w:space="0" w:color="auto"/>
                        <w:bottom w:val="none" w:sz="0" w:space="0" w:color="auto"/>
                        <w:right w:val="none" w:sz="0" w:space="0" w:color="auto"/>
                      </w:divBdr>
                    </w:div>
                  </w:divsChild>
                </w:div>
                <w:div w:id="1800999008">
                  <w:marLeft w:val="0"/>
                  <w:marRight w:val="0"/>
                  <w:marTop w:val="0"/>
                  <w:marBottom w:val="0"/>
                  <w:divBdr>
                    <w:top w:val="none" w:sz="0" w:space="0" w:color="auto"/>
                    <w:left w:val="none" w:sz="0" w:space="0" w:color="auto"/>
                    <w:bottom w:val="none" w:sz="0" w:space="0" w:color="auto"/>
                    <w:right w:val="none" w:sz="0" w:space="0" w:color="auto"/>
                  </w:divBdr>
                  <w:divsChild>
                    <w:div w:id="1517230648">
                      <w:marLeft w:val="0"/>
                      <w:marRight w:val="0"/>
                      <w:marTop w:val="0"/>
                      <w:marBottom w:val="0"/>
                      <w:divBdr>
                        <w:top w:val="none" w:sz="0" w:space="0" w:color="auto"/>
                        <w:left w:val="none" w:sz="0" w:space="0" w:color="auto"/>
                        <w:bottom w:val="none" w:sz="0" w:space="0" w:color="auto"/>
                        <w:right w:val="none" w:sz="0" w:space="0" w:color="auto"/>
                      </w:divBdr>
                    </w:div>
                  </w:divsChild>
                </w:div>
                <w:div w:id="2096972692">
                  <w:marLeft w:val="0"/>
                  <w:marRight w:val="0"/>
                  <w:marTop w:val="0"/>
                  <w:marBottom w:val="0"/>
                  <w:divBdr>
                    <w:top w:val="none" w:sz="0" w:space="0" w:color="auto"/>
                    <w:left w:val="none" w:sz="0" w:space="0" w:color="auto"/>
                    <w:bottom w:val="none" w:sz="0" w:space="0" w:color="auto"/>
                    <w:right w:val="none" w:sz="0" w:space="0" w:color="auto"/>
                  </w:divBdr>
                  <w:divsChild>
                    <w:div w:id="1113983313">
                      <w:marLeft w:val="0"/>
                      <w:marRight w:val="0"/>
                      <w:marTop w:val="0"/>
                      <w:marBottom w:val="0"/>
                      <w:divBdr>
                        <w:top w:val="none" w:sz="0" w:space="0" w:color="auto"/>
                        <w:left w:val="none" w:sz="0" w:space="0" w:color="auto"/>
                        <w:bottom w:val="none" w:sz="0" w:space="0" w:color="auto"/>
                        <w:right w:val="none" w:sz="0" w:space="0" w:color="auto"/>
                      </w:divBdr>
                    </w:div>
                  </w:divsChild>
                </w:div>
                <w:div w:id="484396865">
                  <w:marLeft w:val="0"/>
                  <w:marRight w:val="0"/>
                  <w:marTop w:val="0"/>
                  <w:marBottom w:val="0"/>
                  <w:divBdr>
                    <w:top w:val="none" w:sz="0" w:space="0" w:color="auto"/>
                    <w:left w:val="none" w:sz="0" w:space="0" w:color="auto"/>
                    <w:bottom w:val="none" w:sz="0" w:space="0" w:color="auto"/>
                    <w:right w:val="none" w:sz="0" w:space="0" w:color="auto"/>
                  </w:divBdr>
                  <w:divsChild>
                    <w:div w:id="349572841">
                      <w:marLeft w:val="0"/>
                      <w:marRight w:val="0"/>
                      <w:marTop w:val="0"/>
                      <w:marBottom w:val="0"/>
                      <w:divBdr>
                        <w:top w:val="none" w:sz="0" w:space="0" w:color="auto"/>
                        <w:left w:val="none" w:sz="0" w:space="0" w:color="auto"/>
                        <w:bottom w:val="none" w:sz="0" w:space="0" w:color="auto"/>
                        <w:right w:val="none" w:sz="0" w:space="0" w:color="auto"/>
                      </w:divBdr>
                    </w:div>
                  </w:divsChild>
                </w:div>
                <w:div w:id="379281374">
                  <w:marLeft w:val="0"/>
                  <w:marRight w:val="0"/>
                  <w:marTop w:val="0"/>
                  <w:marBottom w:val="0"/>
                  <w:divBdr>
                    <w:top w:val="none" w:sz="0" w:space="0" w:color="auto"/>
                    <w:left w:val="none" w:sz="0" w:space="0" w:color="auto"/>
                    <w:bottom w:val="none" w:sz="0" w:space="0" w:color="auto"/>
                    <w:right w:val="none" w:sz="0" w:space="0" w:color="auto"/>
                  </w:divBdr>
                  <w:divsChild>
                    <w:div w:id="533466047">
                      <w:marLeft w:val="0"/>
                      <w:marRight w:val="0"/>
                      <w:marTop w:val="0"/>
                      <w:marBottom w:val="0"/>
                      <w:divBdr>
                        <w:top w:val="none" w:sz="0" w:space="0" w:color="auto"/>
                        <w:left w:val="none" w:sz="0" w:space="0" w:color="auto"/>
                        <w:bottom w:val="none" w:sz="0" w:space="0" w:color="auto"/>
                        <w:right w:val="none" w:sz="0" w:space="0" w:color="auto"/>
                      </w:divBdr>
                    </w:div>
                  </w:divsChild>
                </w:div>
                <w:div w:id="131213129">
                  <w:marLeft w:val="0"/>
                  <w:marRight w:val="0"/>
                  <w:marTop w:val="0"/>
                  <w:marBottom w:val="0"/>
                  <w:divBdr>
                    <w:top w:val="none" w:sz="0" w:space="0" w:color="auto"/>
                    <w:left w:val="none" w:sz="0" w:space="0" w:color="auto"/>
                    <w:bottom w:val="none" w:sz="0" w:space="0" w:color="auto"/>
                    <w:right w:val="none" w:sz="0" w:space="0" w:color="auto"/>
                  </w:divBdr>
                  <w:divsChild>
                    <w:div w:id="16561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0294">
          <w:marLeft w:val="0"/>
          <w:marRight w:val="0"/>
          <w:marTop w:val="0"/>
          <w:marBottom w:val="0"/>
          <w:divBdr>
            <w:top w:val="none" w:sz="0" w:space="0" w:color="auto"/>
            <w:left w:val="none" w:sz="0" w:space="0" w:color="auto"/>
            <w:bottom w:val="none" w:sz="0" w:space="0" w:color="auto"/>
            <w:right w:val="none" w:sz="0" w:space="0" w:color="auto"/>
          </w:divBdr>
        </w:div>
      </w:divsChild>
    </w:div>
    <w:div w:id="1186670398">
      <w:bodyDiv w:val="1"/>
      <w:marLeft w:val="0"/>
      <w:marRight w:val="0"/>
      <w:marTop w:val="0"/>
      <w:marBottom w:val="0"/>
      <w:divBdr>
        <w:top w:val="none" w:sz="0" w:space="0" w:color="auto"/>
        <w:left w:val="none" w:sz="0" w:space="0" w:color="auto"/>
        <w:bottom w:val="none" w:sz="0" w:space="0" w:color="auto"/>
        <w:right w:val="none" w:sz="0" w:space="0" w:color="auto"/>
      </w:divBdr>
      <w:divsChild>
        <w:div w:id="1208299437">
          <w:marLeft w:val="0"/>
          <w:marRight w:val="0"/>
          <w:marTop w:val="0"/>
          <w:marBottom w:val="0"/>
          <w:divBdr>
            <w:top w:val="none" w:sz="0" w:space="0" w:color="auto"/>
            <w:left w:val="none" w:sz="0" w:space="0" w:color="auto"/>
            <w:bottom w:val="none" w:sz="0" w:space="0" w:color="auto"/>
            <w:right w:val="none" w:sz="0" w:space="0" w:color="auto"/>
          </w:divBdr>
        </w:div>
        <w:div w:id="109904556">
          <w:marLeft w:val="0"/>
          <w:marRight w:val="0"/>
          <w:marTop w:val="0"/>
          <w:marBottom w:val="0"/>
          <w:divBdr>
            <w:top w:val="none" w:sz="0" w:space="0" w:color="auto"/>
            <w:left w:val="none" w:sz="0" w:space="0" w:color="auto"/>
            <w:bottom w:val="none" w:sz="0" w:space="0" w:color="auto"/>
            <w:right w:val="none" w:sz="0" w:space="0" w:color="auto"/>
          </w:divBdr>
        </w:div>
        <w:div w:id="105273521">
          <w:marLeft w:val="0"/>
          <w:marRight w:val="0"/>
          <w:marTop w:val="0"/>
          <w:marBottom w:val="0"/>
          <w:divBdr>
            <w:top w:val="none" w:sz="0" w:space="0" w:color="auto"/>
            <w:left w:val="none" w:sz="0" w:space="0" w:color="auto"/>
            <w:bottom w:val="none" w:sz="0" w:space="0" w:color="auto"/>
            <w:right w:val="none" w:sz="0" w:space="0" w:color="auto"/>
          </w:divBdr>
          <w:divsChild>
            <w:div w:id="804398580">
              <w:marLeft w:val="-75"/>
              <w:marRight w:val="0"/>
              <w:marTop w:val="30"/>
              <w:marBottom w:val="30"/>
              <w:divBdr>
                <w:top w:val="none" w:sz="0" w:space="0" w:color="auto"/>
                <w:left w:val="none" w:sz="0" w:space="0" w:color="auto"/>
                <w:bottom w:val="none" w:sz="0" w:space="0" w:color="auto"/>
                <w:right w:val="none" w:sz="0" w:space="0" w:color="auto"/>
              </w:divBdr>
              <w:divsChild>
                <w:div w:id="515193945">
                  <w:marLeft w:val="0"/>
                  <w:marRight w:val="0"/>
                  <w:marTop w:val="0"/>
                  <w:marBottom w:val="0"/>
                  <w:divBdr>
                    <w:top w:val="none" w:sz="0" w:space="0" w:color="auto"/>
                    <w:left w:val="none" w:sz="0" w:space="0" w:color="auto"/>
                    <w:bottom w:val="none" w:sz="0" w:space="0" w:color="auto"/>
                    <w:right w:val="none" w:sz="0" w:space="0" w:color="auto"/>
                  </w:divBdr>
                  <w:divsChild>
                    <w:div w:id="365259290">
                      <w:marLeft w:val="0"/>
                      <w:marRight w:val="0"/>
                      <w:marTop w:val="0"/>
                      <w:marBottom w:val="0"/>
                      <w:divBdr>
                        <w:top w:val="none" w:sz="0" w:space="0" w:color="auto"/>
                        <w:left w:val="none" w:sz="0" w:space="0" w:color="auto"/>
                        <w:bottom w:val="none" w:sz="0" w:space="0" w:color="auto"/>
                        <w:right w:val="none" w:sz="0" w:space="0" w:color="auto"/>
                      </w:divBdr>
                    </w:div>
                  </w:divsChild>
                </w:div>
                <w:div w:id="1653942981">
                  <w:marLeft w:val="0"/>
                  <w:marRight w:val="0"/>
                  <w:marTop w:val="0"/>
                  <w:marBottom w:val="0"/>
                  <w:divBdr>
                    <w:top w:val="none" w:sz="0" w:space="0" w:color="auto"/>
                    <w:left w:val="none" w:sz="0" w:space="0" w:color="auto"/>
                    <w:bottom w:val="none" w:sz="0" w:space="0" w:color="auto"/>
                    <w:right w:val="none" w:sz="0" w:space="0" w:color="auto"/>
                  </w:divBdr>
                  <w:divsChild>
                    <w:div w:id="1020472532">
                      <w:marLeft w:val="0"/>
                      <w:marRight w:val="0"/>
                      <w:marTop w:val="0"/>
                      <w:marBottom w:val="0"/>
                      <w:divBdr>
                        <w:top w:val="none" w:sz="0" w:space="0" w:color="auto"/>
                        <w:left w:val="none" w:sz="0" w:space="0" w:color="auto"/>
                        <w:bottom w:val="none" w:sz="0" w:space="0" w:color="auto"/>
                        <w:right w:val="none" w:sz="0" w:space="0" w:color="auto"/>
                      </w:divBdr>
                    </w:div>
                  </w:divsChild>
                </w:div>
                <w:div w:id="829635512">
                  <w:marLeft w:val="0"/>
                  <w:marRight w:val="0"/>
                  <w:marTop w:val="0"/>
                  <w:marBottom w:val="0"/>
                  <w:divBdr>
                    <w:top w:val="none" w:sz="0" w:space="0" w:color="auto"/>
                    <w:left w:val="none" w:sz="0" w:space="0" w:color="auto"/>
                    <w:bottom w:val="none" w:sz="0" w:space="0" w:color="auto"/>
                    <w:right w:val="none" w:sz="0" w:space="0" w:color="auto"/>
                  </w:divBdr>
                  <w:divsChild>
                    <w:div w:id="1262908032">
                      <w:marLeft w:val="0"/>
                      <w:marRight w:val="0"/>
                      <w:marTop w:val="0"/>
                      <w:marBottom w:val="0"/>
                      <w:divBdr>
                        <w:top w:val="none" w:sz="0" w:space="0" w:color="auto"/>
                        <w:left w:val="none" w:sz="0" w:space="0" w:color="auto"/>
                        <w:bottom w:val="none" w:sz="0" w:space="0" w:color="auto"/>
                        <w:right w:val="none" w:sz="0" w:space="0" w:color="auto"/>
                      </w:divBdr>
                    </w:div>
                  </w:divsChild>
                </w:div>
                <w:div w:id="267809018">
                  <w:marLeft w:val="0"/>
                  <w:marRight w:val="0"/>
                  <w:marTop w:val="0"/>
                  <w:marBottom w:val="0"/>
                  <w:divBdr>
                    <w:top w:val="none" w:sz="0" w:space="0" w:color="auto"/>
                    <w:left w:val="none" w:sz="0" w:space="0" w:color="auto"/>
                    <w:bottom w:val="none" w:sz="0" w:space="0" w:color="auto"/>
                    <w:right w:val="none" w:sz="0" w:space="0" w:color="auto"/>
                  </w:divBdr>
                  <w:divsChild>
                    <w:div w:id="403531787">
                      <w:marLeft w:val="0"/>
                      <w:marRight w:val="0"/>
                      <w:marTop w:val="0"/>
                      <w:marBottom w:val="0"/>
                      <w:divBdr>
                        <w:top w:val="none" w:sz="0" w:space="0" w:color="auto"/>
                        <w:left w:val="none" w:sz="0" w:space="0" w:color="auto"/>
                        <w:bottom w:val="none" w:sz="0" w:space="0" w:color="auto"/>
                        <w:right w:val="none" w:sz="0" w:space="0" w:color="auto"/>
                      </w:divBdr>
                    </w:div>
                  </w:divsChild>
                </w:div>
                <w:div w:id="1585987456">
                  <w:marLeft w:val="0"/>
                  <w:marRight w:val="0"/>
                  <w:marTop w:val="0"/>
                  <w:marBottom w:val="0"/>
                  <w:divBdr>
                    <w:top w:val="none" w:sz="0" w:space="0" w:color="auto"/>
                    <w:left w:val="none" w:sz="0" w:space="0" w:color="auto"/>
                    <w:bottom w:val="none" w:sz="0" w:space="0" w:color="auto"/>
                    <w:right w:val="none" w:sz="0" w:space="0" w:color="auto"/>
                  </w:divBdr>
                  <w:divsChild>
                    <w:div w:id="1089697713">
                      <w:marLeft w:val="0"/>
                      <w:marRight w:val="0"/>
                      <w:marTop w:val="0"/>
                      <w:marBottom w:val="0"/>
                      <w:divBdr>
                        <w:top w:val="none" w:sz="0" w:space="0" w:color="auto"/>
                        <w:left w:val="none" w:sz="0" w:space="0" w:color="auto"/>
                        <w:bottom w:val="none" w:sz="0" w:space="0" w:color="auto"/>
                        <w:right w:val="none" w:sz="0" w:space="0" w:color="auto"/>
                      </w:divBdr>
                    </w:div>
                  </w:divsChild>
                </w:div>
                <w:div w:id="1358965328">
                  <w:marLeft w:val="0"/>
                  <w:marRight w:val="0"/>
                  <w:marTop w:val="0"/>
                  <w:marBottom w:val="0"/>
                  <w:divBdr>
                    <w:top w:val="none" w:sz="0" w:space="0" w:color="auto"/>
                    <w:left w:val="none" w:sz="0" w:space="0" w:color="auto"/>
                    <w:bottom w:val="none" w:sz="0" w:space="0" w:color="auto"/>
                    <w:right w:val="none" w:sz="0" w:space="0" w:color="auto"/>
                  </w:divBdr>
                  <w:divsChild>
                    <w:div w:id="957418782">
                      <w:marLeft w:val="0"/>
                      <w:marRight w:val="0"/>
                      <w:marTop w:val="0"/>
                      <w:marBottom w:val="0"/>
                      <w:divBdr>
                        <w:top w:val="none" w:sz="0" w:space="0" w:color="auto"/>
                        <w:left w:val="none" w:sz="0" w:space="0" w:color="auto"/>
                        <w:bottom w:val="none" w:sz="0" w:space="0" w:color="auto"/>
                        <w:right w:val="none" w:sz="0" w:space="0" w:color="auto"/>
                      </w:divBdr>
                    </w:div>
                  </w:divsChild>
                </w:div>
                <w:div w:id="616257411">
                  <w:marLeft w:val="0"/>
                  <w:marRight w:val="0"/>
                  <w:marTop w:val="0"/>
                  <w:marBottom w:val="0"/>
                  <w:divBdr>
                    <w:top w:val="none" w:sz="0" w:space="0" w:color="auto"/>
                    <w:left w:val="none" w:sz="0" w:space="0" w:color="auto"/>
                    <w:bottom w:val="none" w:sz="0" w:space="0" w:color="auto"/>
                    <w:right w:val="none" w:sz="0" w:space="0" w:color="auto"/>
                  </w:divBdr>
                  <w:divsChild>
                    <w:div w:id="1330402297">
                      <w:marLeft w:val="0"/>
                      <w:marRight w:val="0"/>
                      <w:marTop w:val="0"/>
                      <w:marBottom w:val="0"/>
                      <w:divBdr>
                        <w:top w:val="none" w:sz="0" w:space="0" w:color="auto"/>
                        <w:left w:val="none" w:sz="0" w:space="0" w:color="auto"/>
                        <w:bottom w:val="none" w:sz="0" w:space="0" w:color="auto"/>
                        <w:right w:val="none" w:sz="0" w:space="0" w:color="auto"/>
                      </w:divBdr>
                    </w:div>
                  </w:divsChild>
                </w:div>
                <w:div w:id="449395369">
                  <w:marLeft w:val="0"/>
                  <w:marRight w:val="0"/>
                  <w:marTop w:val="0"/>
                  <w:marBottom w:val="0"/>
                  <w:divBdr>
                    <w:top w:val="none" w:sz="0" w:space="0" w:color="auto"/>
                    <w:left w:val="none" w:sz="0" w:space="0" w:color="auto"/>
                    <w:bottom w:val="none" w:sz="0" w:space="0" w:color="auto"/>
                    <w:right w:val="none" w:sz="0" w:space="0" w:color="auto"/>
                  </w:divBdr>
                  <w:divsChild>
                    <w:div w:id="1577323158">
                      <w:marLeft w:val="0"/>
                      <w:marRight w:val="0"/>
                      <w:marTop w:val="0"/>
                      <w:marBottom w:val="0"/>
                      <w:divBdr>
                        <w:top w:val="none" w:sz="0" w:space="0" w:color="auto"/>
                        <w:left w:val="none" w:sz="0" w:space="0" w:color="auto"/>
                        <w:bottom w:val="none" w:sz="0" w:space="0" w:color="auto"/>
                        <w:right w:val="none" w:sz="0" w:space="0" w:color="auto"/>
                      </w:divBdr>
                    </w:div>
                  </w:divsChild>
                </w:div>
                <w:div w:id="657458284">
                  <w:marLeft w:val="0"/>
                  <w:marRight w:val="0"/>
                  <w:marTop w:val="0"/>
                  <w:marBottom w:val="0"/>
                  <w:divBdr>
                    <w:top w:val="none" w:sz="0" w:space="0" w:color="auto"/>
                    <w:left w:val="none" w:sz="0" w:space="0" w:color="auto"/>
                    <w:bottom w:val="none" w:sz="0" w:space="0" w:color="auto"/>
                    <w:right w:val="none" w:sz="0" w:space="0" w:color="auto"/>
                  </w:divBdr>
                  <w:divsChild>
                    <w:div w:id="77600237">
                      <w:marLeft w:val="0"/>
                      <w:marRight w:val="0"/>
                      <w:marTop w:val="0"/>
                      <w:marBottom w:val="0"/>
                      <w:divBdr>
                        <w:top w:val="none" w:sz="0" w:space="0" w:color="auto"/>
                        <w:left w:val="none" w:sz="0" w:space="0" w:color="auto"/>
                        <w:bottom w:val="none" w:sz="0" w:space="0" w:color="auto"/>
                        <w:right w:val="none" w:sz="0" w:space="0" w:color="auto"/>
                      </w:divBdr>
                    </w:div>
                  </w:divsChild>
                </w:div>
                <w:div w:id="138159262">
                  <w:marLeft w:val="0"/>
                  <w:marRight w:val="0"/>
                  <w:marTop w:val="0"/>
                  <w:marBottom w:val="0"/>
                  <w:divBdr>
                    <w:top w:val="none" w:sz="0" w:space="0" w:color="auto"/>
                    <w:left w:val="none" w:sz="0" w:space="0" w:color="auto"/>
                    <w:bottom w:val="none" w:sz="0" w:space="0" w:color="auto"/>
                    <w:right w:val="none" w:sz="0" w:space="0" w:color="auto"/>
                  </w:divBdr>
                  <w:divsChild>
                    <w:div w:id="1055274972">
                      <w:marLeft w:val="0"/>
                      <w:marRight w:val="0"/>
                      <w:marTop w:val="0"/>
                      <w:marBottom w:val="0"/>
                      <w:divBdr>
                        <w:top w:val="none" w:sz="0" w:space="0" w:color="auto"/>
                        <w:left w:val="none" w:sz="0" w:space="0" w:color="auto"/>
                        <w:bottom w:val="none" w:sz="0" w:space="0" w:color="auto"/>
                        <w:right w:val="none" w:sz="0" w:space="0" w:color="auto"/>
                      </w:divBdr>
                    </w:div>
                  </w:divsChild>
                </w:div>
                <w:div w:id="1443451821">
                  <w:marLeft w:val="0"/>
                  <w:marRight w:val="0"/>
                  <w:marTop w:val="0"/>
                  <w:marBottom w:val="0"/>
                  <w:divBdr>
                    <w:top w:val="none" w:sz="0" w:space="0" w:color="auto"/>
                    <w:left w:val="none" w:sz="0" w:space="0" w:color="auto"/>
                    <w:bottom w:val="none" w:sz="0" w:space="0" w:color="auto"/>
                    <w:right w:val="none" w:sz="0" w:space="0" w:color="auto"/>
                  </w:divBdr>
                  <w:divsChild>
                    <w:div w:id="14645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6093">
          <w:marLeft w:val="0"/>
          <w:marRight w:val="0"/>
          <w:marTop w:val="0"/>
          <w:marBottom w:val="0"/>
          <w:divBdr>
            <w:top w:val="none" w:sz="0" w:space="0" w:color="auto"/>
            <w:left w:val="none" w:sz="0" w:space="0" w:color="auto"/>
            <w:bottom w:val="none" w:sz="0" w:space="0" w:color="auto"/>
            <w:right w:val="none" w:sz="0" w:space="0" w:color="auto"/>
          </w:divBdr>
        </w:div>
      </w:divsChild>
    </w:div>
    <w:div w:id="1234659640">
      <w:bodyDiv w:val="1"/>
      <w:marLeft w:val="0"/>
      <w:marRight w:val="0"/>
      <w:marTop w:val="0"/>
      <w:marBottom w:val="0"/>
      <w:divBdr>
        <w:top w:val="none" w:sz="0" w:space="0" w:color="auto"/>
        <w:left w:val="none" w:sz="0" w:space="0" w:color="auto"/>
        <w:bottom w:val="none" w:sz="0" w:space="0" w:color="auto"/>
        <w:right w:val="none" w:sz="0" w:space="0" w:color="auto"/>
      </w:divBdr>
    </w:div>
    <w:div w:id="16397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ta0QgvcCe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ta0QgvcCe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9E036A5C90694EA9B4A7B31670CB52" ma:contentTypeVersion="4" ma:contentTypeDescription="Create a new document." ma:contentTypeScope="" ma:versionID="8704355824d2b9f11e294832a84b2550">
  <xsd:schema xmlns:xsd="http://www.w3.org/2001/XMLSchema" xmlns:xs="http://www.w3.org/2001/XMLSchema" xmlns:p="http://schemas.microsoft.com/office/2006/metadata/properties" xmlns:ns2="e510a4d4-1c29-4a69-862f-ec9ce23ec58e" targetNamespace="http://schemas.microsoft.com/office/2006/metadata/properties" ma:root="true" ma:fieldsID="481e78430f0d67a41f3ef1db771f8039" ns2:_="">
    <xsd:import namespace="e510a4d4-1c29-4a69-862f-ec9ce23ec5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a4d4-1c29-4a69-862f-ec9ce23ec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2331D-C137-43AD-B27A-A7C36A244051}">
  <ds:schemaRefs>
    <ds:schemaRef ds:uri="http://schemas.openxmlformats.org/officeDocument/2006/bibliography"/>
  </ds:schemaRefs>
</ds:datastoreItem>
</file>

<file path=customXml/itemProps2.xml><?xml version="1.0" encoding="utf-8"?>
<ds:datastoreItem xmlns:ds="http://schemas.openxmlformats.org/officeDocument/2006/customXml" ds:itemID="{514EA28E-1A19-4092-B8FA-7DA5D651A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a4d4-1c29-4a69-862f-ec9ce23ec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260D0-9BB1-46B2-B1E9-9A82C8556E53}">
  <ds:schemaRefs>
    <ds:schemaRef ds:uri="http://schemas.microsoft.com/sharepoint/v3/contenttype/forms"/>
  </ds:schemaRefs>
</ds:datastoreItem>
</file>

<file path=customXml/itemProps4.xml><?xml version="1.0" encoding="utf-8"?>
<ds:datastoreItem xmlns:ds="http://schemas.openxmlformats.org/officeDocument/2006/customXml" ds:itemID="{7D0EA859-8E0C-4C3D-AE5E-2CB8496F07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2335</Words>
  <Characters>13310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Twigg</dc:creator>
  <cp:keywords/>
  <dc:description/>
  <cp:lastModifiedBy>Michele Roberts</cp:lastModifiedBy>
  <cp:revision>2</cp:revision>
  <dcterms:created xsi:type="dcterms:W3CDTF">2024-09-16T13:00:00Z</dcterms:created>
  <dcterms:modified xsi:type="dcterms:W3CDTF">2024-09-16T13:00:00Z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0x010100099E036A5C90694EA9B4A7B31670CB52</vt:lpwstr>
  </property>
</Properties>
</file>