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C9BD" w14:textId="5C7F1BA7" w:rsidR="006D724E" w:rsidRPr="00964C64" w:rsidRDefault="006D724E" w:rsidP="00964C64">
      <w:pPr>
        <w:pStyle w:val="BodyText"/>
        <w:ind w:left="7230"/>
        <w:jc w:val="right"/>
        <w:rPr>
          <w:b/>
          <w:sz w:val="36"/>
        </w:rPr>
      </w:pPr>
    </w:p>
    <w:p w14:paraId="52BFC9BE" w14:textId="77777777" w:rsidR="006D724E" w:rsidRDefault="009F37FD" w:rsidP="006D724E">
      <w:pPr>
        <w:pStyle w:val="BodyText"/>
        <w:jc w:val="center"/>
        <w:rPr>
          <w:rFonts w:ascii="Times New Roman"/>
          <w:sz w:val="20"/>
        </w:rPr>
      </w:pPr>
      <w:r>
        <w:rPr>
          <w:noProof/>
          <w:lang w:bidi="ar-SA"/>
        </w:rPr>
        <w:drawing>
          <wp:inline distT="0" distB="0" distL="0" distR="0" wp14:anchorId="52BFD158" wp14:editId="52BFD159">
            <wp:extent cx="4603750" cy="999490"/>
            <wp:effectExtent l="0" t="0" r="6350" b="0"/>
            <wp:docPr id="1" name="Picture 1" descr="T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19847" name="Picture 1" descr="Tam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03750" cy="999490"/>
                    </a:xfrm>
                    <a:prstGeom prst="rect">
                      <a:avLst/>
                    </a:prstGeom>
                    <a:noFill/>
                    <a:ln>
                      <a:noFill/>
                    </a:ln>
                  </pic:spPr>
                </pic:pic>
              </a:graphicData>
            </a:graphic>
          </wp:inline>
        </w:drawing>
      </w:r>
    </w:p>
    <w:p w14:paraId="52BFC9BF" w14:textId="77777777" w:rsidR="006D724E" w:rsidRDefault="006D724E">
      <w:pPr>
        <w:pStyle w:val="BodyText"/>
        <w:rPr>
          <w:rFonts w:ascii="Times New Roman"/>
          <w:sz w:val="20"/>
        </w:rPr>
      </w:pPr>
    </w:p>
    <w:p w14:paraId="52BFC9C0" w14:textId="77777777" w:rsidR="006D724E" w:rsidRDefault="006D724E">
      <w:pPr>
        <w:pStyle w:val="BodyText"/>
        <w:rPr>
          <w:rFonts w:ascii="Times New Roman"/>
          <w:sz w:val="20"/>
        </w:rPr>
      </w:pPr>
    </w:p>
    <w:p w14:paraId="52BFC9C1" w14:textId="77777777" w:rsidR="006D724E" w:rsidRDefault="006D724E">
      <w:pPr>
        <w:pStyle w:val="BodyText"/>
        <w:rPr>
          <w:rFonts w:ascii="Times New Roman"/>
          <w:sz w:val="20"/>
        </w:rPr>
      </w:pPr>
    </w:p>
    <w:p w14:paraId="52BFC9CC" w14:textId="77777777" w:rsidR="006D724E" w:rsidRDefault="006D724E">
      <w:pPr>
        <w:pStyle w:val="BodyText"/>
        <w:rPr>
          <w:rFonts w:ascii="Times New Roman"/>
          <w:sz w:val="20"/>
        </w:rPr>
      </w:pPr>
    </w:p>
    <w:p w14:paraId="52BFC9CD" w14:textId="77777777" w:rsidR="006D724E" w:rsidRDefault="006D724E">
      <w:pPr>
        <w:pStyle w:val="BodyText"/>
        <w:rPr>
          <w:rFonts w:ascii="Times New Roman"/>
          <w:sz w:val="20"/>
        </w:rPr>
      </w:pPr>
    </w:p>
    <w:p w14:paraId="52BFC9CE" w14:textId="77777777" w:rsidR="006D724E" w:rsidRDefault="006D724E">
      <w:pPr>
        <w:pStyle w:val="BodyText"/>
        <w:spacing w:before="10"/>
        <w:rPr>
          <w:rFonts w:ascii="Times New Roman"/>
          <w:sz w:val="27"/>
        </w:rPr>
      </w:pPr>
    </w:p>
    <w:p w14:paraId="52BFC9CF" w14:textId="46BB6BAC" w:rsidR="006D724E" w:rsidRPr="009B73D1" w:rsidRDefault="009F37FD" w:rsidP="006D724E">
      <w:pPr>
        <w:spacing w:before="76" w:line="360" w:lineRule="auto"/>
        <w:ind w:left="2880" w:right="2781"/>
        <w:jc w:val="center"/>
        <w:rPr>
          <w:b/>
          <w:sz w:val="56"/>
        </w:rPr>
      </w:pPr>
      <w:r w:rsidRPr="00666403">
        <w:rPr>
          <w:b/>
          <w:sz w:val="56"/>
        </w:rPr>
        <w:t>Scheme for Financing Schools</w:t>
      </w:r>
      <w:r>
        <w:rPr>
          <w:b/>
          <w:sz w:val="56"/>
        </w:rPr>
        <w:t xml:space="preserve"> </w:t>
      </w:r>
      <w:r w:rsidR="00185F6D">
        <w:rPr>
          <w:b/>
          <w:sz w:val="56"/>
        </w:rPr>
        <w:t>202</w:t>
      </w:r>
      <w:r w:rsidR="00371C2D">
        <w:rPr>
          <w:b/>
          <w:sz w:val="56"/>
        </w:rPr>
        <w:t>6</w:t>
      </w:r>
    </w:p>
    <w:p w14:paraId="52BFC9D0" w14:textId="77777777" w:rsidR="006D724E" w:rsidRPr="0009141D" w:rsidRDefault="006D724E">
      <w:pPr>
        <w:pStyle w:val="BodyText"/>
      </w:pPr>
    </w:p>
    <w:p w14:paraId="52BFC9D1" w14:textId="77777777" w:rsidR="006D724E" w:rsidRDefault="006D724E">
      <w:pPr>
        <w:pStyle w:val="BodyText"/>
      </w:pPr>
    </w:p>
    <w:p w14:paraId="52BFC9D2" w14:textId="71FBD589" w:rsidR="006D724E" w:rsidRDefault="00371C2D" w:rsidP="00371C2D">
      <w:pPr>
        <w:pStyle w:val="BodyText"/>
        <w:ind w:firstLine="720"/>
      </w:pPr>
      <w:r>
        <w:t>Changes to Scheme for 2026-27:</w:t>
      </w:r>
    </w:p>
    <w:p w14:paraId="52BFC9D3" w14:textId="671451FE" w:rsidR="006D724E" w:rsidRDefault="00371C2D" w:rsidP="00E652D4">
      <w:pPr>
        <w:pStyle w:val="BodyText"/>
        <w:numPr>
          <w:ilvl w:val="0"/>
          <w:numId w:val="24"/>
        </w:numPr>
      </w:pPr>
      <w:r>
        <w:t>No changes for 2026-27 apart of maintained schools list updated</w:t>
      </w:r>
    </w:p>
    <w:p w14:paraId="52BFC9D6" w14:textId="77777777" w:rsidR="006D724E" w:rsidRPr="0009141D" w:rsidRDefault="006D724E">
      <w:pPr>
        <w:pStyle w:val="BodyText"/>
      </w:pPr>
    </w:p>
    <w:p w14:paraId="52BFC9D7" w14:textId="296ECC8B" w:rsidR="006D724E" w:rsidRPr="0009141D" w:rsidRDefault="001C6A3B">
      <w:pPr>
        <w:pStyle w:val="BodyText"/>
        <w:spacing w:before="11"/>
      </w:pPr>
      <w:r>
        <w:tab/>
      </w:r>
      <w:hyperlink r:id="rId9" w:history="1">
        <w:r w:rsidR="00371C2D" w:rsidRPr="00371C2D">
          <w:rPr>
            <w:color w:val="0000FF"/>
            <w:u w:val="single"/>
          </w:rPr>
          <w:t xml:space="preserve">Schemes for financing local </w:t>
        </w:r>
        <w:proofErr w:type="gramStart"/>
        <w:r w:rsidR="00371C2D" w:rsidRPr="00371C2D">
          <w:rPr>
            <w:color w:val="0000FF"/>
            <w:u w:val="single"/>
          </w:rPr>
          <w:t>authority maintained</w:t>
        </w:r>
        <w:proofErr w:type="gramEnd"/>
        <w:r w:rsidR="00371C2D" w:rsidRPr="00371C2D">
          <w:rPr>
            <w:color w:val="0000FF"/>
            <w:u w:val="single"/>
          </w:rPr>
          <w:t xml:space="preserve"> schools 2026 to 2027 - GOV.UK</w:t>
        </w:r>
      </w:hyperlink>
    </w:p>
    <w:p w14:paraId="52BFC9D8" w14:textId="77777777" w:rsidR="006D724E" w:rsidRPr="0009141D" w:rsidRDefault="006D724E">
      <w:pPr>
        <w:pStyle w:val="BodyText"/>
        <w:spacing w:before="11"/>
      </w:pPr>
    </w:p>
    <w:p w14:paraId="52BFC9D9" w14:textId="77777777" w:rsidR="006D724E" w:rsidRPr="0009141D" w:rsidRDefault="006D724E">
      <w:pPr>
        <w:pStyle w:val="BodyText"/>
        <w:spacing w:before="11"/>
      </w:pPr>
    </w:p>
    <w:p w14:paraId="52BFC9DA" w14:textId="77777777" w:rsidR="006D724E" w:rsidRDefault="009F37FD" w:rsidP="006D724E">
      <w:pPr>
        <w:ind w:left="720"/>
        <w:rPr>
          <w:sz w:val="24"/>
        </w:rPr>
      </w:pPr>
      <w:r>
        <w:rPr>
          <w:sz w:val="24"/>
          <w:u w:val="single"/>
        </w:rPr>
        <w:t>Statutory Guidance</w:t>
      </w:r>
    </w:p>
    <w:p w14:paraId="52BFC9DB" w14:textId="77777777" w:rsidR="006D724E" w:rsidRDefault="009F37FD" w:rsidP="006D724E">
      <w:pPr>
        <w:ind w:left="720" w:right="547"/>
        <w:jc w:val="both"/>
        <w:rPr>
          <w:sz w:val="24"/>
        </w:rPr>
      </w:pPr>
      <w:r>
        <w:rPr>
          <w:sz w:val="24"/>
        </w:rPr>
        <w:t xml:space="preserve">Section </w:t>
      </w:r>
      <w:r w:rsidRPr="00AB0C0A">
        <w:rPr>
          <w:sz w:val="24"/>
        </w:rPr>
        <w:t>48(4) and paragraph 2</w:t>
      </w:r>
      <w:proofErr w:type="gramStart"/>
      <w:r w:rsidRPr="00AB0C0A">
        <w:rPr>
          <w:sz w:val="24"/>
        </w:rPr>
        <w:t>A(</w:t>
      </w:r>
      <w:proofErr w:type="gramEnd"/>
      <w:r w:rsidRPr="00AB0C0A">
        <w:rPr>
          <w:sz w:val="24"/>
        </w:rPr>
        <w:t>2) of Schedule 14 to the School Standards and Framework Act 1998.</w:t>
      </w:r>
      <w:r>
        <w:rPr>
          <w:sz w:val="24"/>
        </w:rPr>
        <w:t xml:space="preserve"> and Schedule 14 to the Act Schools and Early Years Finance (England) Regulations 2020</w:t>
      </w:r>
    </w:p>
    <w:p w14:paraId="52BFC9DC" w14:textId="77777777" w:rsidR="006D724E" w:rsidRDefault="006D724E">
      <w:pPr>
        <w:pStyle w:val="BodyText"/>
        <w:rPr>
          <w:sz w:val="20"/>
        </w:rPr>
      </w:pPr>
    </w:p>
    <w:p w14:paraId="52BFC9DD" w14:textId="77777777" w:rsidR="006D724E" w:rsidRDefault="006D724E">
      <w:pPr>
        <w:pStyle w:val="BodyText"/>
        <w:spacing w:before="3"/>
        <w:rPr>
          <w:sz w:val="29"/>
        </w:rPr>
      </w:pPr>
    </w:p>
    <w:p w14:paraId="52BFC9E0" w14:textId="7F339A72" w:rsidR="006D724E" w:rsidRDefault="009F37FD" w:rsidP="003B50EE">
      <w:pPr>
        <w:ind w:firstLine="720"/>
        <w:rPr>
          <w:b/>
          <w:sz w:val="28"/>
        </w:rPr>
      </w:pPr>
      <w:bookmarkStart w:id="0" w:name="contents"/>
      <w:bookmarkEnd w:id="0"/>
      <w:r>
        <w:rPr>
          <w:b/>
          <w:sz w:val="28"/>
          <w:shd w:val="clear" w:color="auto" w:fill="FFFFFF"/>
        </w:rPr>
        <w:br w:type="page"/>
      </w:r>
      <w:r>
        <w:rPr>
          <w:b/>
          <w:sz w:val="28"/>
          <w:shd w:val="clear" w:color="auto" w:fill="FFFFFF"/>
        </w:rPr>
        <w:lastRenderedPageBreak/>
        <w:t>CONTENTS</w:t>
      </w:r>
      <w:r>
        <w:rPr>
          <w:b/>
          <w:sz w:val="28"/>
          <w:shd w:val="clear" w:color="auto" w:fill="FFFFFF"/>
        </w:rPr>
        <w:tab/>
      </w:r>
    </w:p>
    <w:p w14:paraId="52BFC9E1" w14:textId="77777777" w:rsidR="006D724E" w:rsidRDefault="006D724E">
      <w:pPr>
        <w:pStyle w:val="BodyText"/>
        <w:spacing w:before="4"/>
        <w:rPr>
          <w:b/>
          <w:sz w:val="20"/>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9E5" w14:textId="77777777">
        <w:trPr>
          <w:trHeight w:val="618"/>
        </w:trPr>
        <w:tc>
          <w:tcPr>
            <w:tcW w:w="881" w:type="dxa"/>
          </w:tcPr>
          <w:p w14:paraId="52BFC9E2" w14:textId="77777777" w:rsidR="006D724E" w:rsidRDefault="006D724E">
            <w:pPr>
              <w:pStyle w:val="TableParagraph"/>
              <w:ind w:left="0"/>
              <w:rPr>
                <w:rFonts w:ascii="Times New Roman"/>
              </w:rPr>
            </w:pPr>
          </w:p>
        </w:tc>
        <w:tc>
          <w:tcPr>
            <w:tcW w:w="7350" w:type="dxa"/>
          </w:tcPr>
          <w:p w14:paraId="52BFC9E3" w14:textId="77777777" w:rsidR="006D724E" w:rsidRDefault="006D724E">
            <w:pPr>
              <w:pStyle w:val="TableParagraph"/>
              <w:ind w:left="0"/>
              <w:rPr>
                <w:rFonts w:ascii="Times New Roman"/>
              </w:rPr>
            </w:pPr>
          </w:p>
        </w:tc>
        <w:tc>
          <w:tcPr>
            <w:tcW w:w="1276" w:type="dxa"/>
          </w:tcPr>
          <w:p w14:paraId="52BFC9E4" w14:textId="77777777" w:rsidR="006D724E" w:rsidRDefault="009F37FD">
            <w:pPr>
              <w:pStyle w:val="TableParagraph"/>
              <w:spacing w:before="115"/>
              <w:ind w:left="117" w:right="106"/>
              <w:jc w:val="center"/>
              <w:rPr>
                <w:b/>
              </w:rPr>
            </w:pPr>
            <w:r>
              <w:rPr>
                <w:b/>
              </w:rPr>
              <w:t>Page Nos</w:t>
            </w:r>
          </w:p>
        </w:tc>
      </w:tr>
      <w:tr w:rsidR="000A73BC" w14:paraId="52BFC9E9" w14:textId="77777777">
        <w:trPr>
          <w:trHeight w:val="621"/>
        </w:trPr>
        <w:tc>
          <w:tcPr>
            <w:tcW w:w="881" w:type="dxa"/>
          </w:tcPr>
          <w:p w14:paraId="52BFC9E6" w14:textId="77777777" w:rsidR="006D724E" w:rsidRDefault="009F37FD">
            <w:pPr>
              <w:pStyle w:val="TableParagraph"/>
              <w:spacing w:before="117"/>
              <w:rPr>
                <w:b/>
              </w:rPr>
            </w:pPr>
            <w:r>
              <w:rPr>
                <w:b/>
              </w:rPr>
              <w:t>1.</w:t>
            </w:r>
          </w:p>
        </w:tc>
        <w:tc>
          <w:tcPr>
            <w:tcW w:w="7350" w:type="dxa"/>
          </w:tcPr>
          <w:p w14:paraId="52BFC9E7" w14:textId="77777777" w:rsidR="006D724E" w:rsidRDefault="009F37FD">
            <w:pPr>
              <w:pStyle w:val="TableParagraph"/>
              <w:spacing w:before="117"/>
              <w:ind w:left="108"/>
              <w:rPr>
                <w:b/>
              </w:rPr>
            </w:pPr>
            <w:r>
              <w:rPr>
                <w:b/>
              </w:rPr>
              <w:t>Introduction</w:t>
            </w:r>
          </w:p>
        </w:tc>
        <w:tc>
          <w:tcPr>
            <w:tcW w:w="1276" w:type="dxa"/>
          </w:tcPr>
          <w:p w14:paraId="52BFC9E8" w14:textId="77777777" w:rsidR="006D724E" w:rsidRDefault="006D724E">
            <w:pPr>
              <w:pStyle w:val="TableParagraph"/>
              <w:spacing w:before="117"/>
              <w:ind w:left="11"/>
              <w:jc w:val="center"/>
              <w:rPr>
                <w:b/>
                <w:sz w:val="20"/>
              </w:rPr>
            </w:pPr>
          </w:p>
        </w:tc>
      </w:tr>
      <w:tr w:rsidR="000A73BC" w14:paraId="52BFC9ED" w14:textId="77777777">
        <w:trPr>
          <w:trHeight w:val="618"/>
        </w:trPr>
        <w:tc>
          <w:tcPr>
            <w:tcW w:w="881" w:type="dxa"/>
          </w:tcPr>
          <w:p w14:paraId="52BFC9EA" w14:textId="77777777" w:rsidR="006D724E" w:rsidRDefault="009F37FD">
            <w:pPr>
              <w:pStyle w:val="TableParagraph"/>
              <w:spacing w:before="117"/>
            </w:pPr>
            <w:r>
              <w:t>1.1</w:t>
            </w:r>
          </w:p>
        </w:tc>
        <w:tc>
          <w:tcPr>
            <w:tcW w:w="7350" w:type="dxa"/>
          </w:tcPr>
          <w:p w14:paraId="52BFC9EB" w14:textId="77777777" w:rsidR="006D724E" w:rsidRDefault="009F37FD">
            <w:pPr>
              <w:pStyle w:val="TableParagraph"/>
              <w:spacing w:before="117"/>
              <w:ind w:left="108"/>
            </w:pPr>
            <w:r>
              <w:t>The Funding Framework</w:t>
            </w:r>
          </w:p>
        </w:tc>
        <w:tc>
          <w:tcPr>
            <w:tcW w:w="1276" w:type="dxa"/>
          </w:tcPr>
          <w:p w14:paraId="52BFC9EC" w14:textId="77777777" w:rsidR="006D724E" w:rsidRDefault="009F37FD">
            <w:pPr>
              <w:pStyle w:val="TableParagraph"/>
              <w:spacing w:before="117"/>
              <w:ind w:left="11"/>
              <w:jc w:val="center"/>
              <w:rPr>
                <w:sz w:val="20"/>
              </w:rPr>
            </w:pPr>
            <w:r>
              <w:rPr>
                <w:w w:val="99"/>
                <w:sz w:val="20"/>
              </w:rPr>
              <w:t>7</w:t>
            </w:r>
          </w:p>
        </w:tc>
      </w:tr>
      <w:tr w:rsidR="000A73BC" w14:paraId="52BFC9F1" w14:textId="77777777">
        <w:trPr>
          <w:trHeight w:val="618"/>
        </w:trPr>
        <w:tc>
          <w:tcPr>
            <w:tcW w:w="881" w:type="dxa"/>
          </w:tcPr>
          <w:p w14:paraId="52BFC9EE" w14:textId="77777777" w:rsidR="006D724E" w:rsidRDefault="009F37FD">
            <w:pPr>
              <w:pStyle w:val="TableParagraph"/>
              <w:spacing w:before="117"/>
            </w:pPr>
            <w:r>
              <w:t>1.2</w:t>
            </w:r>
          </w:p>
        </w:tc>
        <w:tc>
          <w:tcPr>
            <w:tcW w:w="7350" w:type="dxa"/>
          </w:tcPr>
          <w:p w14:paraId="52BFC9EF" w14:textId="77777777" w:rsidR="006D724E" w:rsidRDefault="009F37FD">
            <w:pPr>
              <w:pStyle w:val="TableParagraph"/>
              <w:spacing w:before="117"/>
              <w:ind w:left="108"/>
            </w:pPr>
            <w:r>
              <w:t>The Role of the Scheme</w:t>
            </w:r>
          </w:p>
        </w:tc>
        <w:tc>
          <w:tcPr>
            <w:tcW w:w="1276" w:type="dxa"/>
          </w:tcPr>
          <w:p w14:paraId="52BFC9F0" w14:textId="77777777" w:rsidR="006D724E" w:rsidRDefault="009F37FD">
            <w:pPr>
              <w:pStyle w:val="TableParagraph"/>
              <w:spacing w:before="117"/>
              <w:ind w:left="11"/>
              <w:jc w:val="center"/>
              <w:rPr>
                <w:sz w:val="20"/>
              </w:rPr>
            </w:pPr>
            <w:r>
              <w:rPr>
                <w:w w:val="99"/>
                <w:sz w:val="20"/>
              </w:rPr>
              <w:t>8</w:t>
            </w:r>
          </w:p>
        </w:tc>
      </w:tr>
      <w:tr w:rsidR="000A73BC" w14:paraId="52BFC9F5" w14:textId="77777777">
        <w:trPr>
          <w:trHeight w:val="621"/>
        </w:trPr>
        <w:tc>
          <w:tcPr>
            <w:tcW w:w="881" w:type="dxa"/>
          </w:tcPr>
          <w:p w14:paraId="52BFC9F2" w14:textId="77777777" w:rsidR="006D724E" w:rsidRDefault="009F37FD">
            <w:pPr>
              <w:pStyle w:val="TableParagraph"/>
              <w:spacing w:before="117"/>
            </w:pPr>
            <w:r>
              <w:t>1.3</w:t>
            </w:r>
          </w:p>
        </w:tc>
        <w:tc>
          <w:tcPr>
            <w:tcW w:w="7350" w:type="dxa"/>
          </w:tcPr>
          <w:p w14:paraId="52BFC9F3" w14:textId="4EA0C40B" w:rsidR="006D724E" w:rsidRDefault="00227360">
            <w:pPr>
              <w:pStyle w:val="TableParagraph"/>
              <w:spacing w:before="117"/>
              <w:ind w:left="108"/>
            </w:pPr>
            <w:r>
              <w:t>The Application of t</w:t>
            </w:r>
            <w:r w:rsidR="009F37FD">
              <w:t>he Scheme</w:t>
            </w:r>
          </w:p>
        </w:tc>
        <w:tc>
          <w:tcPr>
            <w:tcW w:w="1276" w:type="dxa"/>
          </w:tcPr>
          <w:p w14:paraId="52BFC9F4" w14:textId="77777777" w:rsidR="006D724E" w:rsidRDefault="009F37FD" w:rsidP="006D724E">
            <w:pPr>
              <w:pStyle w:val="TableParagraph"/>
              <w:spacing w:before="117"/>
              <w:ind w:left="11"/>
              <w:jc w:val="center"/>
              <w:rPr>
                <w:sz w:val="20"/>
              </w:rPr>
            </w:pPr>
            <w:r>
              <w:rPr>
                <w:w w:val="99"/>
                <w:sz w:val="20"/>
              </w:rPr>
              <w:t>9</w:t>
            </w:r>
          </w:p>
        </w:tc>
      </w:tr>
      <w:tr w:rsidR="000A73BC" w14:paraId="52BFC9F9" w14:textId="77777777">
        <w:trPr>
          <w:trHeight w:val="618"/>
        </w:trPr>
        <w:tc>
          <w:tcPr>
            <w:tcW w:w="881" w:type="dxa"/>
          </w:tcPr>
          <w:p w14:paraId="52BFC9F6" w14:textId="77777777" w:rsidR="006D724E" w:rsidRDefault="009F37FD">
            <w:pPr>
              <w:pStyle w:val="TableParagraph"/>
              <w:spacing w:before="117"/>
            </w:pPr>
            <w:r>
              <w:t>1.4</w:t>
            </w:r>
          </w:p>
        </w:tc>
        <w:tc>
          <w:tcPr>
            <w:tcW w:w="7350" w:type="dxa"/>
          </w:tcPr>
          <w:p w14:paraId="52BFC9F7" w14:textId="77777777" w:rsidR="006D724E" w:rsidRDefault="009F37FD">
            <w:pPr>
              <w:pStyle w:val="TableParagraph"/>
              <w:spacing w:before="117"/>
              <w:ind w:left="108"/>
            </w:pPr>
            <w:r>
              <w:t>Publication of the Scheme</w:t>
            </w:r>
          </w:p>
        </w:tc>
        <w:tc>
          <w:tcPr>
            <w:tcW w:w="1276" w:type="dxa"/>
          </w:tcPr>
          <w:p w14:paraId="52BFC9F8" w14:textId="77777777" w:rsidR="006D724E" w:rsidRDefault="009F37FD">
            <w:pPr>
              <w:pStyle w:val="TableParagraph"/>
              <w:spacing w:before="117"/>
              <w:ind w:left="11"/>
              <w:jc w:val="center"/>
              <w:rPr>
                <w:sz w:val="20"/>
              </w:rPr>
            </w:pPr>
            <w:r>
              <w:rPr>
                <w:w w:val="99"/>
                <w:sz w:val="20"/>
              </w:rPr>
              <w:t>9</w:t>
            </w:r>
          </w:p>
        </w:tc>
      </w:tr>
      <w:tr w:rsidR="000A73BC" w14:paraId="52BFC9FD" w14:textId="77777777">
        <w:trPr>
          <w:trHeight w:val="618"/>
        </w:trPr>
        <w:tc>
          <w:tcPr>
            <w:tcW w:w="881" w:type="dxa"/>
          </w:tcPr>
          <w:p w14:paraId="52BFC9FA" w14:textId="77777777" w:rsidR="006D724E" w:rsidRDefault="009F37FD">
            <w:pPr>
              <w:pStyle w:val="TableParagraph"/>
              <w:spacing w:before="117"/>
            </w:pPr>
            <w:r>
              <w:t>1.5</w:t>
            </w:r>
          </w:p>
        </w:tc>
        <w:tc>
          <w:tcPr>
            <w:tcW w:w="7350" w:type="dxa"/>
          </w:tcPr>
          <w:p w14:paraId="52BFC9FB" w14:textId="77777777" w:rsidR="006D724E" w:rsidRDefault="009F37FD">
            <w:pPr>
              <w:pStyle w:val="TableParagraph"/>
              <w:spacing w:before="117"/>
              <w:ind w:left="108"/>
            </w:pPr>
            <w:r>
              <w:t>Revision to the Scheme</w:t>
            </w:r>
          </w:p>
        </w:tc>
        <w:tc>
          <w:tcPr>
            <w:tcW w:w="1276" w:type="dxa"/>
          </w:tcPr>
          <w:p w14:paraId="52BFC9FC" w14:textId="77777777" w:rsidR="006D724E" w:rsidRDefault="009F37FD">
            <w:pPr>
              <w:pStyle w:val="TableParagraph"/>
              <w:spacing w:before="117"/>
              <w:ind w:left="11"/>
              <w:jc w:val="center"/>
              <w:rPr>
                <w:sz w:val="20"/>
              </w:rPr>
            </w:pPr>
            <w:r>
              <w:rPr>
                <w:w w:val="99"/>
                <w:sz w:val="20"/>
              </w:rPr>
              <w:t>9</w:t>
            </w:r>
          </w:p>
        </w:tc>
      </w:tr>
      <w:tr w:rsidR="000A73BC" w14:paraId="52BFCA01" w14:textId="77777777">
        <w:trPr>
          <w:trHeight w:val="618"/>
        </w:trPr>
        <w:tc>
          <w:tcPr>
            <w:tcW w:w="881" w:type="dxa"/>
          </w:tcPr>
          <w:p w14:paraId="52BFC9FE" w14:textId="77777777" w:rsidR="006D724E" w:rsidRDefault="009F37FD">
            <w:pPr>
              <w:pStyle w:val="TableParagraph"/>
              <w:spacing w:before="117"/>
            </w:pPr>
            <w:r>
              <w:t>1.6</w:t>
            </w:r>
          </w:p>
        </w:tc>
        <w:tc>
          <w:tcPr>
            <w:tcW w:w="7350" w:type="dxa"/>
          </w:tcPr>
          <w:p w14:paraId="52BFC9FF" w14:textId="77777777" w:rsidR="006D724E" w:rsidRDefault="009F37FD">
            <w:pPr>
              <w:pStyle w:val="TableParagraph"/>
              <w:spacing w:before="117"/>
              <w:ind w:left="108"/>
            </w:pPr>
            <w:r>
              <w:t>Delegation of Powers to the Headteacher</w:t>
            </w:r>
          </w:p>
        </w:tc>
        <w:tc>
          <w:tcPr>
            <w:tcW w:w="1276" w:type="dxa"/>
          </w:tcPr>
          <w:p w14:paraId="52BFCA00" w14:textId="77777777" w:rsidR="006D724E" w:rsidRDefault="009F37FD">
            <w:pPr>
              <w:pStyle w:val="TableParagraph"/>
              <w:spacing w:before="117"/>
              <w:ind w:left="11"/>
              <w:jc w:val="center"/>
              <w:rPr>
                <w:sz w:val="20"/>
              </w:rPr>
            </w:pPr>
            <w:r>
              <w:rPr>
                <w:w w:val="99"/>
                <w:sz w:val="20"/>
              </w:rPr>
              <w:t>9</w:t>
            </w:r>
          </w:p>
        </w:tc>
      </w:tr>
      <w:tr w:rsidR="000A73BC" w14:paraId="52BFCA05" w14:textId="77777777">
        <w:trPr>
          <w:trHeight w:val="621"/>
        </w:trPr>
        <w:tc>
          <w:tcPr>
            <w:tcW w:w="881" w:type="dxa"/>
          </w:tcPr>
          <w:p w14:paraId="52BFCA02" w14:textId="77777777" w:rsidR="006D724E" w:rsidRDefault="009F37FD">
            <w:pPr>
              <w:pStyle w:val="TableParagraph"/>
              <w:spacing w:before="120"/>
            </w:pPr>
            <w:r>
              <w:t>1.7</w:t>
            </w:r>
          </w:p>
        </w:tc>
        <w:tc>
          <w:tcPr>
            <w:tcW w:w="7350" w:type="dxa"/>
          </w:tcPr>
          <w:p w14:paraId="52BFCA03" w14:textId="77777777" w:rsidR="006D724E" w:rsidRDefault="009F37FD">
            <w:pPr>
              <w:pStyle w:val="TableParagraph"/>
              <w:spacing w:before="120"/>
              <w:ind w:left="108"/>
            </w:pPr>
            <w:r>
              <w:t>Maintenance of Schools</w:t>
            </w:r>
          </w:p>
        </w:tc>
        <w:tc>
          <w:tcPr>
            <w:tcW w:w="1276" w:type="dxa"/>
          </w:tcPr>
          <w:p w14:paraId="52BFCA04" w14:textId="42078A15" w:rsidR="006D724E" w:rsidRDefault="00227360">
            <w:pPr>
              <w:pStyle w:val="TableParagraph"/>
              <w:spacing w:before="119"/>
              <w:ind w:left="11"/>
              <w:jc w:val="center"/>
              <w:rPr>
                <w:sz w:val="20"/>
              </w:rPr>
            </w:pPr>
            <w:r>
              <w:rPr>
                <w:w w:val="99"/>
                <w:sz w:val="20"/>
              </w:rPr>
              <w:t>9</w:t>
            </w:r>
          </w:p>
        </w:tc>
      </w:tr>
      <w:tr w:rsidR="000A73BC" w14:paraId="52BFCA09" w14:textId="77777777">
        <w:trPr>
          <w:trHeight w:val="619"/>
        </w:trPr>
        <w:tc>
          <w:tcPr>
            <w:tcW w:w="881" w:type="dxa"/>
          </w:tcPr>
          <w:p w14:paraId="52BFCA06" w14:textId="77777777" w:rsidR="006D724E" w:rsidRDefault="009F37FD">
            <w:pPr>
              <w:pStyle w:val="TableParagraph"/>
              <w:spacing w:before="115"/>
              <w:rPr>
                <w:b/>
              </w:rPr>
            </w:pPr>
            <w:r>
              <w:rPr>
                <w:b/>
              </w:rPr>
              <w:t>2.</w:t>
            </w:r>
          </w:p>
        </w:tc>
        <w:tc>
          <w:tcPr>
            <w:tcW w:w="7350" w:type="dxa"/>
          </w:tcPr>
          <w:p w14:paraId="52BFCA07" w14:textId="77777777" w:rsidR="006D724E" w:rsidRDefault="009F37FD">
            <w:pPr>
              <w:pStyle w:val="TableParagraph"/>
              <w:spacing w:before="115"/>
              <w:ind w:left="108"/>
              <w:rPr>
                <w:b/>
              </w:rPr>
            </w:pPr>
            <w:r>
              <w:rPr>
                <w:b/>
              </w:rPr>
              <w:t>Financial Controls</w:t>
            </w:r>
          </w:p>
        </w:tc>
        <w:tc>
          <w:tcPr>
            <w:tcW w:w="1276" w:type="dxa"/>
          </w:tcPr>
          <w:p w14:paraId="52BFCA08" w14:textId="77777777" w:rsidR="006D724E" w:rsidRDefault="006D724E">
            <w:pPr>
              <w:pStyle w:val="TableParagraph"/>
              <w:spacing w:before="117"/>
              <w:ind w:left="11"/>
              <w:jc w:val="center"/>
              <w:rPr>
                <w:sz w:val="20"/>
              </w:rPr>
            </w:pPr>
          </w:p>
        </w:tc>
      </w:tr>
      <w:tr w:rsidR="000A73BC" w14:paraId="52BFCA0D" w14:textId="77777777">
        <w:trPr>
          <w:trHeight w:val="618"/>
        </w:trPr>
        <w:tc>
          <w:tcPr>
            <w:tcW w:w="881" w:type="dxa"/>
          </w:tcPr>
          <w:p w14:paraId="52BFCA0A" w14:textId="77777777" w:rsidR="006D724E" w:rsidRDefault="009F37FD">
            <w:pPr>
              <w:pStyle w:val="TableParagraph"/>
              <w:spacing w:before="117"/>
            </w:pPr>
            <w:r>
              <w:t>2.1</w:t>
            </w:r>
          </w:p>
        </w:tc>
        <w:tc>
          <w:tcPr>
            <w:tcW w:w="7350" w:type="dxa"/>
          </w:tcPr>
          <w:p w14:paraId="52BFCA0B" w14:textId="77777777" w:rsidR="006D724E" w:rsidRDefault="009F37FD">
            <w:pPr>
              <w:pStyle w:val="TableParagraph"/>
              <w:spacing w:before="117"/>
              <w:ind w:left="108"/>
            </w:pPr>
            <w:r>
              <w:t>General Procedures</w:t>
            </w:r>
          </w:p>
        </w:tc>
        <w:tc>
          <w:tcPr>
            <w:tcW w:w="1276" w:type="dxa"/>
          </w:tcPr>
          <w:p w14:paraId="52BFCA0C" w14:textId="0E318CA9" w:rsidR="006D724E" w:rsidRDefault="00227360">
            <w:pPr>
              <w:pStyle w:val="TableParagraph"/>
              <w:spacing w:before="117"/>
              <w:ind w:left="11"/>
              <w:jc w:val="center"/>
              <w:rPr>
                <w:sz w:val="20"/>
              </w:rPr>
            </w:pPr>
            <w:r>
              <w:rPr>
                <w:w w:val="99"/>
                <w:sz w:val="20"/>
              </w:rPr>
              <w:t>10</w:t>
            </w:r>
          </w:p>
        </w:tc>
      </w:tr>
      <w:tr w:rsidR="000A73BC" w14:paraId="52BFCA11" w14:textId="77777777">
        <w:trPr>
          <w:trHeight w:val="618"/>
        </w:trPr>
        <w:tc>
          <w:tcPr>
            <w:tcW w:w="881" w:type="dxa"/>
          </w:tcPr>
          <w:p w14:paraId="52BFCA0E" w14:textId="77777777" w:rsidR="006D724E" w:rsidRDefault="009F37FD">
            <w:pPr>
              <w:pStyle w:val="TableParagraph"/>
              <w:spacing w:before="117"/>
            </w:pPr>
            <w:r>
              <w:t>2.2</w:t>
            </w:r>
          </w:p>
        </w:tc>
        <w:tc>
          <w:tcPr>
            <w:tcW w:w="7350" w:type="dxa"/>
          </w:tcPr>
          <w:p w14:paraId="52BFCA0F" w14:textId="77777777" w:rsidR="006D724E" w:rsidRDefault="009F37FD">
            <w:pPr>
              <w:pStyle w:val="TableParagraph"/>
              <w:spacing w:before="117"/>
              <w:ind w:left="108"/>
            </w:pPr>
            <w:r>
              <w:t>Basis of Accounting</w:t>
            </w:r>
          </w:p>
        </w:tc>
        <w:tc>
          <w:tcPr>
            <w:tcW w:w="1276" w:type="dxa"/>
          </w:tcPr>
          <w:p w14:paraId="52BFCA10" w14:textId="465DD6BC" w:rsidR="006D724E" w:rsidRDefault="00227360">
            <w:pPr>
              <w:pStyle w:val="TableParagraph"/>
              <w:spacing w:before="117"/>
              <w:ind w:left="112" w:right="106"/>
              <w:jc w:val="center"/>
              <w:rPr>
                <w:sz w:val="20"/>
              </w:rPr>
            </w:pPr>
            <w:r>
              <w:rPr>
                <w:sz w:val="20"/>
              </w:rPr>
              <w:t>12</w:t>
            </w:r>
          </w:p>
        </w:tc>
      </w:tr>
      <w:tr w:rsidR="000A73BC" w14:paraId="52BFCA15" w14:textId="77777777">
        <w:trPr>
          <w:trHeight w:val="621"/>
        </w:trPr>
        <w:tc>
          <w:tcPr>
            <w:tcW w:w="881" w:type="dxa"/>
          </w:tcPr>
          <w:p w14:paraId="52BFCA12" w14:textId="77777777" w:rsidR="006D724E" w:rsidRDefault="009F37FD">
            <w:pPr>
              <w:pStyle w:val="TableParagraph"/>
              <w:spacing w:before="120"/>
            </w:pPr>
            <w:r>
              <w:t>2.3</w:t>
            </w:r>
          </w:p>
        </w:tc>
        <w:tc>
          <w:tcPr>
            <w:tcW w:w="7350" w:type="dxa"/>
          </w:tcPr>
          <w:p w14:paraId="52BFCA13" w14:textId="77777777" w:rsidR="006D724E" w:rsidRDefault="009F37FD">
            <w:pPr>
              <w:pStyle w:val="TableParagraph"/>
              <w:spacing w:before="120"/>
              <w:ind w:left="108"/>
            </w:pPr>
            <w:r>
              <w:t>Submission of Budget Plans</w:t>
            </w:r>
          </w:p>
        </w:tc>
        <w:tc>
          <w:tcPr>
            <w:tcW w:w="1276" w:type="dxa"/>
          </w:tcPr>
          <w:p w14:paraId="52BFCA14" w14:textId="436DE305" w:rsidR="006D724E" w:rsidRDefault="009F37FD" w:rsidP="00227360">
            <w:pPr>
              <w:pStyle w:val="TableParagraph"/>
              <w:spacing w:before="119"/>
              <w:ind w:left="112" w:right="106"/>
              <w:jc w:val="center"/>
              <w:rPr>
                <w:sz w:val="20"/>
              </w:rPr>
            </w:pPr>
            <w:r>
              <w:rPr>
                <w:sz w:val="20"/>
              </w:rPr>
              <w:t>1</w:t>
            </w:r>
            <w:r w:rsidR="00227360">
              <w:rPr>
                <w:sz w:val="20"/>
              </w:rPr>
              <w:t>2</w:t>
            </w:r>
          </w:p>
        </w:tc>
      </w:tr>
      <w:tr w:rsidR="000A73BC" w14:paraId="52BFCA19" w14:textId="77777777">
        <w:trPr>
          <w:trHeight w:val="618"/>
        </w:trPr>
        <w:tc>
          <w:tcPr>
            <w:tcW w:w="881" w:type="dxa"/>
          </w:tcPr>
          <w:p w14:paraId="52BFCA16" w14:textId="77777777" w:rsidR="006D724E" w:rsidRDefault="009F37FD">
            <w:pPr>
              <w:pStyle w:val="TableParagraph"/>
              <w:spacing w:before="117"/>
            </w:pPr>
            <w:r>
              <w:t>2.4</w:t>
            </w:r>
          </w:p>
        </w:tc>
        <w:tc>
          <w:tcPr>
            <w:tcW w:w="7350" w:type="dxa"/>
          </w:tcPr>
          <w:p w14:paraId="52BFCA17" w14:textId="77777777" w:rsidR="006D724E" w:rsidRDefault="009F37FD">
            <w:pPr>
              <w:pStyle w:val="TableParagraph"/>
              <w:spacing w:before="117"/>
              <w:ind w:left="108"/>
            </w:pPr>
            <w:r>
              <w:t>Value for Money</w:t>
            </w:r>
          </w:p>
        </w:tc>
        <w:tc>
          <w:tcPr>
            <w:tcW w:w="1276" w:type="dxa"/>
          </w:tcPr>
          <w:p w14:paraId="52BFCA18" w14:textId="1C4A917A" w:rsidR="006D724E" w:rsidRDefault="00227360">
            <w:pPr>
              <w:pStyle w:val="TableParagraph"/>
              <w:spacing w:before="117"/>
              <w:ind w:left="112" w:right="106"/>
              <w:jc w:val="center"/>
              <w:rPr>
                <w:sz w:val="20"/>
              </w:rPr>
            </w:pPr>
            <w:r>
              <w:rPr>
                <w:sz w:val="20"/>
              </w:rPr>
              <w:t>13</w:t>
            </w:r>
          </w:p>
        </w:tc>
      </w:tr>
      <w:tr w:rsidR="000A73BC" w14:paraId="52BFCA1D" w14:textId="77777777">
        <w:trPr>
          <w:trHeight w:val="619"/>
        </w:trPr>
        <w:tc>
          <w:tcPr>
            <w:tcW w:w="881" w:type="dxa"/>
          </w:tcPr>
          <w:p w14:paraId="52BFCA1A" w14:textId="77777777" w:rsidR="006D724E" w:rsidRDefault="009F37FD">
            <w:pPr>
              <w:pStyle w:val="TableParagraph"/>
              <w:spacing w:before="117"/>
            </w:pPr>
            <w:r>
              <w:t>2.5</w:t>
            </w:r>
          </w:p>
        </w:tc>
        <w:tc>
          <w:tcPr>
            <w:tcW w:w="7350" w:type="dxa"/>
          </w:tcPr>
          <w:p w14:paraId="52BFCA1B" w14:textId="77777777" w:rsidR="006D724E" w:rsidRDefault="009F37FD">
            <w:pPr>
              <w:pStyle w:val="TableParagraph"/>
              <w:spacing w:before="117"/>
              <w:ind w:left="108"/>
            </w:pPr>
            <w:r>
              <w:t>Virement</w:t>
            </w:r>
          </w:p>
        </w:tc>
        <w:tc>
          <w:tcPr>
            <w:tcW w:w="1276" w:type="dxa"/>
          </w:tcPr>
          <w:p w14:paraId="52BFCA1C" w14:textId="63125783" w:rsidR="006D724E" w:rsidRDefault="00227360" w:rsidP="006D724E">
            <w:pPr>
              <w:pStyle w:val="TableParagraph"/>
              <w:spacing w:before="117"/>
              <w:ind w:left="112" w:right="106"/>
              <w:jc w:val="center"/>
              <w:rPr>
                <w:sz w:val="20"/>
              </w:rPr>
            </w:pPr>
            <w:r>
              <w:rPr>
                <w:sz w:val="20"/>
              </w:rPr>
              <w:t>13</w:t>
            </w:r>
          </w:p>
        </w:tc>
      </w:tr>
      <w:tr w:rsidR="000A73BC" w14:paraId="52BFCA21" w14:textId="77777777">
        <w:trPr>
          <w:trHeight w:val="621"/>
        </w:trPr>
        <w:tc>
          <w:tcPr>
            <w:tcW w:w="881" w:type="dxa"/>
          </w:tcPr>
          <w:p w14:paraId="52BFCA1E" w14:textId="77777777" w:rsidR="006D724E" w:rsidRDefault="009F37FD">
            <w:pPr>
              <w:pStyle w:val="TableParagraph"/>
              <w:spacing w:before="117"/>
            </w:pPr>
            <w:r>
              <w:t>2.6</w:t>
            </w:r>
          </w:p>
        </w:tc>
        <w:tc>
          <w:tcPr>
            <w:tcW w:w="7350" w:type="dxa"/>
          </w:tcPr>
          <w:p w14:paraId="52BFCA1F" w14:textId="1E5FA20E" w:rsidR="006D724E" w:rsidRDefault="008B40F5">
            <w:pPr>
              <w:pStyle w:val="TableParagraph"/>
              <w:spacing w:before="117"/>
              <w:ind w:left="108"/>
            </w:pPr>
            <w:r>
              <w:t>Audit</w:t>
            </w:r>
            <w:r w:rsidR="009F37FD">
              <w:t>: General</w:t>
            </w:r>
          </w:p>
        </w:tc>
        <w:tc>
          <w:tcPr>
            <w:tcW w:w="1276" w:type="dxa"/>
          </w:tcPr>
          <w:p w14:paraId="52BFCA20" w14:textId="32E7C632" w:rsidR="006D724E" w:rsidRDefault="00227360">
            <w:pPr>
              <w:pStyle w:val="TableParagraph"/>
              <w:spacing w:before="117"/>
              <w:ind w:left="112" w:right="106"/>
              <w:jc w:val="center"/>
              <w:rPr>
                <w:sz w:val="20"/>
              </w:rPr>
            </w:pPr>
            <w:r>
              <w:rPr>
                <w:sz w:val="20"/>
              </w:rPr>
              <w:t>13</w:t>
            </w:r>
          </w:p>
        </w:tc>
      </w:tr>
      <w:tr w:rsidR="000A73BC" w14:paraId="52BFCA25" w14:textId="77777777">
        <w:trPr>
          <w:trHeight w:val="618"/>
        </w:trPr>
        <w:tc>
          <w:tcPr>
            <w:tcW w:w="881" w:type="dxa"/>
          </w:tcPr>
          <w:p w14:paraId="52BFCA22" w14:textId="77777777" w:rsidR="006D724E" w:rsidRDefault="009F37FD">
            <w:pPr>
              <w:pStyle w:val="TableParagraph"/>
              <w:spacing w:before="117"/>
            </w:pPr>
            <w:r>
              <w:t>2.7</w:t>
            </w:r>
          </w:p>
        </w:tc>
        <w:tc>
          <w:tcPr>
            <w:tcW w:w="7350" w:type="dxa"/>
          </w:tcPr>
          <w:p w14:paraId="52BFCA23" w14:textId="77777777" w:rsidR="006D724E" w:rsidRDefault="009F37FD">
            <w:pPr>
              <w:pStyle w:val="TableParagraph"/>
              <w:spacing w:before="117"/>
              <w:ind w:left="108"/>
            </w:pPr>
            <w:r>
              <w:t>Separate External Audits</w:t>
            </w:r>
          </w:p>
        </w:tc>
        <w:tc>
          <w:tcPr>
            <w:tcW w:w="1276" w:type="dxa"/>
          </w:tcPr>
          <w:p w14:paraId="52BFCA24" w14:textId="059723AA" w:rsidR="006D724E" w:rsidRDefault="00227360">
            <w:pPr>
              <w:pStyle w:val="TableParagraph"/>
              <w:spacing w:before="117"/>
              <w:ind w:left="112" w:right="106"/>
              <w:jc w:val="center"/>
              <w:rPr>
                <w:sz w:val="20"/>
              </w:rPr>
            </w:pPr>
            <w:r>
              <w:rPr>
                <w:sz w:val="20"/>
              </w:rPr>
              <w:t>13</w:t>
            </w:r>
          </w:p>
        </w:tc>
      </w:tr>
      <w:tr w:rsidR="000A73BC" w14:paraId="52BFCA29" w14:textId="77777777">
        <w:trPr>
          <w:trHeight w:val="618"/>
        </w:trPr>
        <w:tc>
          <w:tcPr>
            <w:tcW w:w="881" w:type="dxa"/>
          </w:tcPr>
          <w:p w14:paraId="52BFCA26" w14:textId="77777777" w:rsidR="006D724E" w:rsidRDefault="009F37FD">
            <w:pPr>
              <w:pStyle w:val="TableParagraph"/>
              <w:spacing w:before="117"/>
            </w:pPr>
            <w:r>
              <w:t>2.8</w:t>
            </w:r>
          </w:p>
        </w:tc>
        <w:tc>
          <w:tcPr>
            <w:tcW w:w="7350" w:type="dxa"/>
          </w:tcPr>
          <w:p w14:paraId="52BFCA27" w14:textId="77777777" w:rsidR="006D724E" w:rsidRDefault="009F37FD">
            <w:pPr>
              <w:pStyle w:val="TableParagraph"/>
              <w:spacing w:before="117"/>
              <w:ind w:left="108"/>
            </w:pPr>
            <w:r>
              <w:t>Audit of Voluntary and Private Funds</w:t>
            </w:r>
          </w:p>
        </w:tc>
        <w:tc>
          <w:tcPr>
            <w:tcW w:w="1276" w:type="dxa"/>
          </w:tcPr>
          <w:p w14:paraId="52BFCA28" w14:textId="734BC749" w:rsidR="006D724E" w:rsidRDefault="00227360">
            <w:pPr>
              <w:pStyle w:val="TableParagraph"/>
              <w:spacing w:before="117"/>
              <w:ind w:left="112" w:right="106"/>
              <w:jc w:val="center"/>
              <w:rPr>
                <w:sz w:val="20"/>
              </w:rPr>
            </w:pPr>
            <w:r>
              <w:rPr>
                <w:sz w:val="20"/>
              </w:rPr>
              <w:t>13</w:t>
            </w:r>
          </w:p>
        </w:tc>
      </w:tr>
      <w:tr w:rsidR="000A73BC" w14:paraId="52BFCA2D" w14:textId="77777777">
        <w:trPr>
          <w:trHeight w:val="618"/>
        </w:trPr>
        <w:tc>
          <w:tcPr>
            <w:tcW w:w="881" w:type="dxa"/>
          </w:tcPr>
          <w:p w14:paraId="52BFCA2A" w14:textId="77777777" w:rsidR="006D724E" w:rsidRDefault="009F37FD">
            <w:pPr>
              <w:pStyle w:val="TableParagraph"/>
              <w:spacing w:before="117"/>
            </w:pPr>
            <w:r>
              <w:t>2.9</w:t>
            </w:r>
          </w:p>
        </w:tc>
        <w:tc>
          <w:tcPr>
            <w:tcW w:w="7350" w:type="dxa"/>
          </w:tcPr>
          <w:p w14:paraId="52BFCA2B" w14:textId="77777777" w:rsidR="006D724E" w:rsidRDefault="009F37FD">
            <w:pPr>
              <w:pStyle w:val="TableParagraph"/>
              <w:spacing w:before="117"/>
              <w:ind w:left="108"/>
            </w:pPr>
            <w:r>
              <w:t>Register of Business Interests</w:t>
            </w:r>
          </w:p>
        </w:tc>
        <w:tc>
          <w:tcPr>
            <w:tcW w:w="1276" w:type="dxa"/>
          </w:tcPr>
          <w:p w14:paraId="52BFCA2C" w14:textId="3D292372" w:rsidR="006D724E" w:rsidRDefault="009F37FD" w:rsidP="00227360">
            <w:pPr>
              <w:pStyle w:val="TableParagraph"/>
              <w:spacing w:before="117"/>
              <w:ind w:left="112" w:right="106"/>
              <w:jc w:val="center"/>
              <w:rPr>
                <w:sz w:val="20"/>
              </w:rPr>
            </w:pPr>
            <w:r>
              <w:rPr>
                <w:sz w:val="20"/>
              </w:rPr>
              <w:t>14</w:t>
            </w:r>
          </w:p>
        </w:tc>
      </w:tr>
      <w:tr w:rsidR="000A73BC" w14:paraId="52BFCA31" w14:textId="77777777">
        <w:trPr>
          <w:trHeight w:val="621"/>
        </w:trPr>
        <w:tc>
          <w:tcPr>
            <w:tcW w:w="881" w:type="dxa"/>
          </w:tcPr>
          <w:p w14:paraId="52BFCA2E" w14:textId="77777777" w:rsidR="006D724E" w:rsidRDefault="009F37FD">
            <w:pPr>
              <w:pStyle w:val="TableParagraph"/>
              <w:spacing w:before="120"/>
            </w:pPr>
            <w:r>
              <w:t>2.10</w:t>
            </w:r>
          </w:p>
        </w:tc>
        <w:tc>
          <w:tcPr>
            <w:tcW w:w="7350" w:type="dxa"/>
          </w:tcPr>
          <w:p w14:paraId="52BFCA2F" w14:textId="77777777" w:rsidR="006D724E" w:rsidRDefault="009F37FD">
            <w:pPr>
              <w:pStyle w:val="TableParagraph"/>
              <w:spacing w:before="120"/>
              <w:ind w:left="108"/>
            </w:pPr>
            <w:r>
              <w:t>Purchasing, Tendering and Contracting Requirements</w:t>
            </w:r>
          </w:p>
        </w:tc>
        <w:tc>
          <w:tcPr>
            <w:tcW w:w="1276" w:type="dxa"/>
          </w:tcPr>
          <w:p w14:paraId="52BFCA30" w14:textId="65CFD68E" w:rsidR="006D724E" w:rsidRDefault="00227360">
            <w:pPr>
              <w:pStyle w:val="TableParagraph"/>
              <w:spacing w:before="119"/>
              <w:ind w:left="112" w:right="106"/>
              <w:jc w:val="center"/>
              <w:rPr>
                <w:sz w:val="20"/>
              </w:rPr>
            </w:pPr>
            <w:r>
              <w:rPr>
                <w:sz w:val="20"/>
              </w:rPr>
              <w:t>15</w:t>
            </w:r>
          </w:p>
        </w:tc>
      </w:tr>
      <w:tr w:rsidR="000A73BC" w14:paraId="52BFCA35" w14:textId="77777777">
        <w:trPr>
          <w:trHeight w:val="618"/>
        </w:trPr>
        <w:tc>
          <w:tcPr>
            <w:tcW w:w="881" w:type="dxa"/>
          </w:tcPr>
          <w:p w14:paraId="52BFCA32" w14:textId="77777777" w:rsidR="006D724E" w:rsidRDefault="009F37FD">
            <w:pPr>
              <w:pStyle w:val="TableParagraph"/>
              <w:spacing w:before="117"/>
            </w:pPr>
            <w:r>
              <w:t>2.11</w:t>
            </w:r>
          </w:p>
        </w:tc>
        <w:tc>
          <w:tcPr>
            <w:tcW w:w="7350" w:type="dxa"/>
          </w:tcPr>
          <w:p w14:paraId="52BFCA33" w14:textId="77777777" w:rsidR="006D724E" w:rsidRDefault="009F37FD">
            <w:pPr>
              <w:pStyle w:val="TableParagraph"/>
              <w:spacing w:before="117"/>
              <w:ind w:left="108"/>
            </w:pPr>
            <w:r>
              <w:t>Application of Contracts to Schools</w:t>
            </w:r>
          </w:p>
        </w:tc>
        <w:tc>
          <w:tcPr>
            <w:tcW w:w="1276" w:type="dxa"/>
          </w:tcPr>
          <w:p w14:paraId="52BFCA34" w14:textId="2138DEA8" w:rsidR="006D724E" w:rsidRDefault="00227360">
            <w:pPr>
              <w:pStyle w:val="TableParagraph"/>
              <w:spacing w:before="117"/>
              <w:ind w:left="112" w:right="106"/>
              <w:jc w:val="center"/>
              <w:rPr>
                <w:sz w:val="20"/>
              </w:rPr>
            </w:pPr>
            <w:r>
              <w:rPr>
                <w:sz w:val="20"/>
              </w:rPr>
              <w:t>16</w:t>
            </w:r>
          </w:p>
        </w:tc>
      </w:tr>
      <w:tr w:rsidR="000A73BC" w14:paraId="52BFCA39" w14:textId="77777777">
        <w:trPr>
          <w:trHeight w:val="618"/>
        </w:trPr>
        <w:tc>
          <w:tcPr>
            <w:tcW w:w="881" w:type="dxa"/>
          </w:tcPr>
          <w:p w14:paraId="52BFCA36" w14:textId="77777777" w:rsidR="006D724E" w:rsidRDefault="009F37FD">
            <w:pPr>
              <w:pStyle w:val="TableParagraph"/>
              <w:spacing w:before="117"/>
            </w:pPr>
            <w:r>
              <w:t>2.12</w:t>
            </w:r>
          </w:p>
        </w:tc>
        <w:tc>
          <w:tcPr>
            <w:tcW w:w="7350" w:type="dxa"/>
          </w:tcPr>
          <w:p w14:paraId="52BFCA37" w14:textId="77777777" w:rsidR="006D724E" w:rsidRDefault="009F37FD">
            <w:pPr>
              <w:pStyle w:val="TableParagraph"/>
              <w:spacing w:before="117"/>
              <w:ind w:left="108"/>
            </w:pPr>
            <w:r>
              <w:t>Central Funds and Earmarking</w:t>
            </w:r>
          </w:p>
        </w:tc>
        <w:tc>
          <w:tcPr>
            <w:tcW w:w="1276" w:type="dxa"/>
          </w:tcPr>
          <w:p w14:paraId="52BFCA38" w14:textId="430D4249" w:rsidR="006D724E" w:rsidRDefault="00227360">
            <w:pPr>
              <w:pStyle w:val="TableParagraph"/>
              <w:spacing w:before="117"/>
              <w:ind w:left="112" w:right="106"/>
              <w:jc w:val="center"/>
              <w:rPr>
                <w:sz w:val="20"/>
              </w:rPr>
            </w:pPr>
            <w:r>
              <w:rPr>
                <w:sz w:val="20"/>
              </w:rPr>
              <w:t>16</w:t>
            </w:r>
          </w:p>
        </w:tc>
      </w:tr>
    </w:tbl>
    <w:p w14:paraId="52BFCA3A" w14:textId="77777777" w:rsidR="006D724E" w:rsidRDefault="006D724E" w:rsidP="006D724E">
      <w:pPr>
        <w:spacing w:before="180"/>
        <w:ind w:right="76"/>
        <w:jc w:val="center"/>
        <w:rPr>
          <w:sz w:val="24"/>
        </w:rPr>
        <w:sectPr w:rsidR="006D724E">
          <w:headerReference w:type="default" r:id="rId10"/>
          <w:footerReference w:type="default" r:id="rId11"/>
          <w:footerReference w:type="first" r:id="rId12"/>
          <w:pgSz w:w="11910" w:h="16840"/>
          <w:pgMar w:top="1040" w:right="140" w:bottom="280" w:left="220" w:header="720" w:footer="720" w:gutter="0"/>
          <w:cols w:space="720"/>
        </w:sect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A3E" w14:textId="77777777">
        <w:trPr>
          <w:trHeight w:val="618"/>
        </w:trPr>
        <w:tc>
          <w:tcPr>
            <w:tcW w:w="881" w:type="dxa"/>
          </w:tcPr>
          <w:p w14:paraId="52BFCA3B" w14:textId="77777777" w:rsidR="006D724E" w:rsidRDefault="009F37FD">
            <w:pPr>
              <w:pStyle w:val="TableParagraph"/>
              <w:spacing w:before="113"/>
            </w:pPr>
            <w:r>
              <w:lastRenderedPageBreak/>
              <w:t>2.13</w:t>
            </w:r>
          </w:p>
        </w:tc>
        <w:tc>
          <w:tcPr>
            <w:tcW w:w="7350" w:type="dxa"/>
          </w:tcPr>
          <w:p w14:paraId="52BFCA3C" w14:textId="77777777" w:rsidR="006D724E" w:rsidRDefault="009F37FD">
            <w:pPr>
              <w:pStyle w:val="TableParagraph"/>
              <w:spacing w:before="113"/>
              <w:ind w:left="108"/>
            </w:pPr>
            <w:r>
              <w:t>Spending for the Purposes of the School</w:t>
            </w:r>
          </w:p>
        </w:tc>
        <w:tc>
          <w:tcPr>
            <w:tcW w:w="1276" w:type="dxa"/>
          </w:tcPr>
          <w:p w14:paraId="52BFCA3D" w14:textId="5A36CCB2" w:rsidR="006D724E" w:rsidRDefault="00227360" w:rsidP="006D724E">
            <w:pPr>
              <w:pStyle w:val="TableParagraph"/>
              <w:spacing w:before="113"/>
              <w:ind w:left="112" w:right="106"/>
              <w:jc w:val="center"/>
              <w:rPr>
                <w:sz w:val="20"/>
              </w:rPr>
            </w:pPr>
            <w:r>
              <w:rPr>
                <w:sz w:val="20"/>
              </w:rPr>
              <w:t>16</w:t>
            </w:r>
          </w:p>
        </w:tc>
      </w:tr>
      <w:tr w:rsidR="000A73BC" w14:paraId="52BFCA42" w14:textId="77777777">
        <w:trPr>
          <w:trHeight w:val="621"/>
        </w:trPr>
        <w:tc>
          <w:tcPr>
            <w:tcW w:w="881" w:type="dxa"/>
          </w:tcPr>
          <w:p w14:paraId="52BFCA3F" w14:textId="77777777" w:rsidR="006D724E" w:rsidRDefault="009F37FD">
            <w:pPr>
              <w:pStyle w:val="TableParagraph"/>
              <w:spacing w:before="116"/>
            </w:pPr>
            <w:r>
              <w:t>2.14</w:t>
            </w:r>
          </w:p>
        </w:tc>
        <w:tc>
          <w:tcPr>
            <w:tcW w:w="7350" w:type="dxa"/>
          </w:tcPr>
          <w:p w14:paraId="52BFCA40" w14:textId="77777777" w:rsidR="006D724E" w:rsidRDefault="009F37FD">
            <w:pPr>
              <w:pStyle w:val="TableParagraph"/>
              <w:spacing w:before="116"/>
              <w:ind w:left="108"/>
            </w:pPr>
            <w:r>
              <w:t>Capital Spending from Budget Shares</w:t>
            </w:r>
          </w:p>
        </w:tc>
        <w:tc>
          <w:tcPr>
            <w:tcW w:w="1276" w:type="dxa"/>
          </w:tcPr>
          <w:p w14:paraId="52BFCA41" w14:textId="57D074B1" w:rsidR="006D724E" w:rsidRDefault="009F37FD" w:rsidP="00227360">
            <w:pPr>
              <w:pStyle w:val="TableParagraph"/>
              <w:spacing w:before="116"/>
              <w:ind w:left="112" w:right="106"/>
              <w:jc w:val="center"/>
              <w:rPr>
                <w:sz w:val="20"/>
              </w:rPr>
            </w:pPr>
            <w:r>
              <w:rPr>
                <w:sz w:val="20"/>
              </w:rPr>
              <w:t>1</w:t>
            </w:r>
            <w:r w:rsidR="00227360">
              <w:rPr>
                <w:sz w:val="20"/>
              </w:rPr>
              <w:t>7</w:t>
            </w:r>
          </w:p>
        </w:tc>
      </w:tr>
      <w:tr w:rsidR="000A73BC" w14:paraId="52BFCA46" w14:textId="77777777">
        <w:trPr>
          <w:trHeight w:val="618"/>
        </w:trPr>
        <w:tc>
          <w:tcPr>
            <w:tcW w:w="881" w:type="dxa"/>
          </w:tcPr>
          <w:p w14:paraId="52BFCA43" w14:textId="77777777" w:rsidR="006D724E" w:rsidRDefault="009F37FD">
            <w:pPr>
              <w:pStyle w:val="TableParagraph"/>
              <w:spacing w:before="113"/>
            </w:pPr>
            <w:r>
              <w:t>2.15</w:t>
            </w:r>
          </w:p>
        </w:tc>
        <w:tc>
          <w:tcPr>
            <w:tcW w:w="7350" w:type="dxa"/>
          </w:tcPr>
          <w:p w14:paraId="52BFCA44" w14:textId="77777777" w:rsidR="006D724E" w:rsidRDefault="009F37FD">
            <w:pPr>
              <w:pStyle w:val="TableParagraph"/>
              <w:spacing w:before="113"/>
              <w:ind w:left="108"/>
            </w:pPr>
            <w:r>
              <w:t>Notice of Concern</w:t>
            </w:r>
          </w:p>
        </w:tc>
        <w:tc>
          <w:tcPr>
            <w:tcW w:w="1276" w:type="dxa"/>
          </w:tcPr>
          <w:p w14:paraId="52BFCA45" w14:textId="0CDF132F" w:rsidR="006D724E" w:rsidRDefault="00227360">
            <w:pPr>
              <w:pStyle w:val="TableParagraph"/>
              <w:spacing w:before="113"/>
              <w:ind w:left="112" w:right="106"/>
              <w:jc w:val="center"/>
              <w:rPr>
                <w:sz w:val="20"/>
              </w:rPr>
            </w:pPr>
            <w:r>
              <w:rPr>
                <w:sz w:val="20"/>
              </w:rPr>
              <w:t>17</w:t>
            </w:r>
          </w:p>
        </w:tc>
      </w:tr>
      <w:tr w:rsidR="000A73BC" w14:paraId="52BFCA4A" w14:textId="77777777">
        <w:trPr>
          <w:trHeight w:val="618"/>
        </w:trPr>
        <w:tc>
          <w:tcPr>
            <w:tcW w:w="881" w:type="dxa"/>
          </w:tcPr>
          <w:p w14:paraId="52BFCA47" w14:textId="77777777" w:rsidR="006D724E" w:rsidRDefault="009F37FD">
            <w:pPr>
              <w:pStyle w:val="TableParagraph"/>
              <w:spacing w:before="113"/>
            </w:pPr>
            <w:r>
              <w:t>2.16</w:t>
            </w:r>
          </w:p>
        </w:tc>
        <w:tc>
          <w:tcPr>
            <w:tcW w:w="7350" w:type="dxa"/>
          </w:tcPr>
          <w:p w14:paraId="52BFCA48" w14:textId="77777777" w:rsidR="006D724E" w:rsidRDefault="009F37FD">
            <w:pPr>
              <w:pStyle w:val="TableParagraph"/>
              <w:spacing w:before="113"/>
              <w:ind w:left="108"/>
            </w:pPr>
            <w:r>
              <w:t>Schools Financial Value Standard</w:t>
            </w:r>
          </w:p>
        </w:tc>
        <w:tc>
          <w:tcPr>
            <w:tcW w:w="1276" w:type="dxa"/>
          </w:tcPr>
          <w:p w14:paraId="52BFCA49" w14:textId="7DD49E1F" w:rsidR="006D724E" w:rsidRDefault="00227360" w:rsidP="00227360">
            <w:pPr>
              <w:pStyle w:val="TableParagraph"/>
              <w:spacing w:before="113"/>
              <w:ind w:left="112" w:right="106"/>
              <w:jc w:val="center"/>
              <w:rPr>
                <w:sz w:val="20"/>
              </w:rPr>
            </w:pPr>
            <w:r>
              <w:rPr>
                <w:sz w:val="20"/>
              </w:rPr>
              <w:t>18</w:t>
            </w:r>
          </w:p>
        </w:tc>
      </w:tr>
      <w:tr w:rsidR="000A73BC" w14:paraId="52BFCA4E" w14:textId="77777777">
        <w:trPr>
          <w:trHeight w:val="621"/>
        </w:trPr>
        <w:tc>
          <w:tcPr>
            <w:tcW w:w="881" w:type="dxa"/>
          </w:tcPr>
          <w:p w14:paraId="52BFCA4B" w14:textId="77777777" w:rsidR="006D724E" w:rsidRDefault="009F37FD">
            <w:pPr>
              <w:pStyle w:val="TableParagraph"/>
              <w:spacing w:before="113"/>
            </w:pPr>
            <w:r>
              <w:t>2.17</w:t>
            </w:r>
          </w:p>
        </w:tc>
        <w:tc>
          <w:tcPr>
            <w:tcW w:w="7350" w:type="dxa"/>
          </w:tcPr>
          <w:p w14:paraId="52BFCA4C" w14:textId="77777777" w:rsidR="006D724E" w:rsidRDefault="009F37FD">
            <w:pPr>
              <w:pStyle w:val="TableParagraph"/>
              <w:spacing w:before="113"/>
              <w:ind w:left="108"/>
            </w:pPr>
            <w:r>
              <w:t>Fraud and Corruption</w:t>
            </w:r>
          </w:p>
        </w:tc>
        <w:tc>
          <w:tcPr>
            <w:tcW w:w="1276" w:type="dxa"/>
          </w:tcPr>
          <w:p w14:paraId="52BFCA4D" w14:textId="32264DD0" w:rsidR="006D724E" w:rsidRDefault="00227360" w:rsidP="006D724E">
            <w:pPr>
              <w:pStyle w:val="TableParagraph"/>
              <w:spacing w:before="113"/>
              <w:ind w:left="112" w:right="106"/>
              <w:jc w:val="center"/>
              <w:rPr>
                <w:sz w:val="20"/>
              </w:rPr>
            </w:pPr>
            <w:r>
              <w:rPr>
                <w:sz w:val="20"/>
              </w:rPr>
              <w:t>18</w:t>
            </w:r>
          </w:p>
        </w:tc>
      </w:tr>
      <w:tr w:rsidR="000A73BC" w14:paraId="52BFCA52" w14:textId="77777777">
        <w:trPr>
          <w:trHeight w:val="618"/>
        </w:trPr>
        <w:tc>
          <w:tcPr>
            <w:tcW w:w="881" w:type="dxa"/>
          </w:tcPr>
          <w:p w14:paraId="52BFCA4F" w14:textId="77777777" w:rsidR="006D724E" w:rsidRDefault="009F37FD">
            <w:pPr>
              <w:pStyle w:val="TableParagraph"/>
              <w:spacing w:before="111"/>
              <w:rPr>
                <w:b/>
              </w:rPr>
            </w:pPr>
            <w:r>
              <w:rPr>
                <w:b/>
              </w:rPr>
              <w:t>3.</w:t>
            </w:r>
          </w:p>
        </w:tc>
        <w:tc>
          <w:tcPr>
            <w:tcW w:w="7350" w:type="dxa"/>
          </w:tcPr>
          <w:p w14:paraId="52BFCA50" w14:textId="77777777" w:rsidR="006D724E" w:rsidRDefault="009F37FD">
            <w:pPr>
              <w:pStyle w:val="TableParagraph"/>
              <w:spacing w:before="111"/>
              <w:ind w:left="108"/>
              <w:rPr>
                <w:b/>
              </w:rPr>
            </w:pPr>
            <w:r>
              <w:rPr>
                <w:b/>
              </w:rPr>
              <w:t>Instalments of the Budget Share; Banking Arrangements</w:t>
            </w:r>
          </w:p>
        </w:tc>
        <w:tc>
          <w:tcPr>
            <w:tcW w:w="1276" w:type="dxa"/>
          </w:tcPr>
          <w:p w14:paraId="52BFCA51" w14:textId="77777777" w:rsidR="006D724E" w:rsidRDefault="006D724E">
            <w:pPr>
              <w:pStyle w:val="TableParagraph"/>
              <w:spacing w:before="110"/>
              <w:ind w:left="112" w:right="106"/>
              <w:jc w:val="center"/>
              <w:rPr>
                <w:b/>
                <w:sz w:val="20"/>
              </w:rPr>
            </w:pPr>
          </w:p>
        </w:tc>
      </w:tr>
      <w:tr w:rsidR="000A73BC" w14:paraId="52BFCA56" w14:textId="77777777">
        <w:trPr>
          <w:trHeight w:val="621"/>
        </w:trPr>
        <w:tc>
          <w:tcPr>
            <w:tcW w:w="881" w:type="dxa"/>
          </w:tcPr>
          <w:p w14:paraId="52BFCA53" w14:textId="77777777" w:rsidR="006D724E" w:rsidRDefault="009F37FD">
            <w:pPr>
              <w:pStyle w:val="TableParagraph"/>
              <w:spacing w:before="116"/>
            </w:pPr>
            <w:r>
              <w:t>3.1</w:t>
            </w:r>
          </w:p>
        </w:tc>
        <w:tc>
          <w:tcPr>
            <w:tcW w:w="7350" w:type="dxa"/>
          </w:tcPr>
          <w:p w14:paraId="52BFCA54" w14:textId="77777777" w:rsidR="006D724E" w:rsidRDefault="009F37FD">
            <w:pPr>
              <w:pStyle w:val="TableParagraph"/>
              <w:spacing w:before="116"/>
              <w:ind w:left="108"/>
            </w:pPr>
            <w:r>
              <w:t>Frequency of Instalments</w:t>
            </w:r>
          </w:p>
        </w:tc>
        <w:tc>
          <w:tcPr>
            <w:tcW w:w="1276" w:type="dxa"/>
          </w:tcPr>
          <w:p w14:paraId="52BFCA55" w14:textId="0C1C977D" w:rsidR="006D724E" w:rsidRDefault="00227360" w:rsidP="006D724E">
            <w:pPr>
              <w:pStyle w:val="TableParagraph"/>
              <w:spacing w:before="115"/>
              <w:ind w:left="112" w:right="106"/>
              <w:jc w:val="center"/>
              <w:rPr>
                <w:sz w:val="20"/>
              </w:rPr>
            </w:pPr>
            <w:r>
              <w:rPr>
                <w:sz w:val="20"/>
              </w:rPr>
              <w:t>19</w:t>
            </w:r>
          </w:p>
        </w:tc>
      </w:tr>
      <w:tr w:rsidR="000A73BC" w14:paraId="52BFCA5A" w14:textId="77777777">
        <w:trPr>
          <w:trHeight w:val="618"/>
        </w:trPr>
        <w:tc>
          <w:tcPr>
            <w:tcW w:w="881" w:type="dxa"/>
          </w:tcPr>
          <w:p w14:paraId="52BFCA57" w14:textId="77777777" w:rsidR="006D724E" w:rsidRDefault="009F37FD">
            <w:pPr>
              <w:pStyle w:val="TableParagraph"/>
              <w:spacing w:before="113"/>
            </w:pPr>
            <w:r>
              <w:t>3.2</w:t>
            </w:r>
          </w:p>
        </w:tc>
        <w:tc>
          <w:tcPr>
            <w:tcW w:w="7350" w:type="dxa"/>
          </w:tcPr>
          <w:p w14:paraId="52BFCA58" w14:textId="3C8DA403" w:rsidR="006D724E" w:rsidRDefault="009F37FD">
            <w:pPr>
              <w:pStyle w:val="TableParagraph"/>
              <w:spacing w:before="113"/>
              <w:ind w:left="108"/>
            </w:pPr>
            <w:r>
              <w:t>Proport</w:t>
            </w:r>
            <w:r w:rsidR="00A314CE">
              <w:t>ion of Budget Share Payable at E</w:t>
            </w:r>
            <w:r>
              <w:t>ach Instalment</w:t>
            </w:r>
          </w:p>
        </w:tc>
        <w:tc>
          <w:tcPr>
            <w:tcW w:w="1276" w:type="dxa"/>
          </w:tcPr>
          <w:p w14:paraId="52BFCA59" w14:textId="3893145E" w:rsidR="006D724E" w:rsidRDefault="00227360">
            <w:pPr>
              <w:pStyle w:val="TableParagraph"/>
              <w:spacing w:before="113"/>
              <w:ind w:left="112" w:right="106"/>
              <w:jc w:val="center"/>
              <w:rPr>
                <w:sz w:val="20"/>
              </w:rPr>
            </w:pPr>
            <w:r>
              <w:rPr>
                <w:sz w:val="20"/>
              </w:rPr>
              <w:t>19</w:t>
            </w:r>
          </w:p>
        </w:tc>
      </w:tr>
      <w:tr w:rsidR="000A73BC" w14:paraId="52BFCA5E" w14:textId="77777777">
        <w:trPr>
          <w:trHeight w:val="618"/>
        </w:trPr>
        <w:tc>
          <w:tcPr>
            <w:tcW w:w="881" w:type="dxa"/>
          </w:tcPr>
          <w:p w14:paraId="52BFCA5B" w14:textId="77777777" w:rsidR="006D724E" w:rsidRDefault="009F37FD">
            <w:pPr>
              <w:pStyle w:val="TableParagraph"/>
              <w:spacing w:before="113"/>
            </w:pPr>
            <w:r>
              <w:t>3.3</w:t>
            </w:r>
          </w:p>
        </w:tc>
        <w:tc>
          <w:tcPr>
            <w:tcW w:w="7350" w:type="dxa"/>
          </w:tcPr>
          <w:p w14:paraId="52BFCA5C" w14:textId="77777777" w:rsidR="006D724E" w:rsidRDefault="009F37FD">
            <w:pPr>
              <w:pStyle w:val="TableParagraph"/>
              <w:spacing w:before="113"/>
              <w:ind w:left="108"/>
            </w:pPr>
            <w:r>
              <w:t>Interest Clawback</w:t>
            </w:r>
          </w:p>
        </w:tc>
        <w:tc>
          <w:tcPr>
            <w:tcW w:w="1276" w:type="dxa"/>
          </w:tcPr>
          <w:p w14:paraId="52BFCA5D" w14:textId="603B8803" w:rsidR="006D724E" w:rsidRDefault="00227360" w:rsidP="006D724E">
            <w:pPr>
              <w:pStyle w:val="TableParagraph"/>
              <w:spacing w:before="113"/>
              <w:ind w:left="112" w:right="106"/>
              <w:jc w:val="center"/>
              <w:rPr>
                <w:sz w:val="20"/>
              </w:rPr>
            </w:pPr>
            <w:r>
              <w:rPr>
                <w:sz w:val="20"/>
              </w:rPr>
              <w:t>19</w:t>
            </w:r>
          </w:p>
        </w:tc>
      </w:tr>
      <w:tr w:rsidR="000A73BC" w14:paraId="52BFCA62" w14:textId="77777777">
        <w:trPr>
          <w:trHeight w:val="621"/>
        </w:trPr>
        <w:tc>
          <w:tcPr>
            <w:tcW w:w="881" w:type="dxa"/>
          </w:tcPr>
          <w:p w14:paraId="52BFCA5F" w14:textId="77777777" w:rsidR="006D724E" w:rsidRDefault="009F37FD">
            <w:pPr>
              <w:pStyle w:val="TableParagraph"/>
              <w:spacing w:before="114"/>
            </w:pPr>
            <w:r>
              <w:t>3.4</w:t>
            </w:r>
          </w:p>
        </w:tc>
        <w:tc>
          <w:tcPr>
            <w:tcW w:w="7350" w:type="dxa"/>
          </w:tcPr>
          <w:p w14:paraId="52BFCA60" w14:textId="77777777" w:rsidR="006D724E" w:rsidRDefault="009F37FD">
            <w:pPr>
              <w:pStyle w:val="TableParagraph"/>
              <w:spacing w:before="114"/>
              <w:ind w:left="108"/>
            </w:pPr>
            <w:r>
              <w:t>Budget Shares for Closing Schools</w:t>
            </w:r>
          </w:p>
        </w:tc>
        <w:tc>
          <w:tcPr>
            <w:tcW w:w="1276" w:type="dxa"/>
          </w:tcPr>
          <w:p w14:paraId="52BFCA61" w14:textId="6552BF06" w:rsidR="006D724E" w:rsidRDefault="00227360">
            <w:pPr>
              <w:pStyle w:val="TableParagraph"/>
              <w:spacing w:before="113"/>
              <w:ind w:left="112" w:right="106"/>
              <w:jc w:val="center"/>
              <w:rPr>
                <w:sz w:val="20"/>
              </w:rPr>
            </w:pPr>
            <w:r>
              <w:rPr>
                <w:sz w:val="20"/>
              </w:rPr>
              <w:t>19</w:t>
            </w:r>
          </w:p>
        </w:tc>
      </w:tr>
      <w:tr w:rsidR="000A73BC" w14:paraId="52BFCA66" w14:textId="77777777">
        <w:trPr>
          <w:trHeight w:val="618"/>
        </w:trPr>
        <w:tc>
          <w:tcPr>
            <w:tcW w:w="881" w:type="dxa"/>
          </w:tcPr>
          <w:p w14:paraId="52BFCA63" w14:textId="77777777" w:rsidR="006D724E" w:rsidRDefault="009F37FD">
            <w:pPr>
              <w:pStyle w:val="TableParagraph"/>
              <w:spacing w:before="113"/>
            </w:pPr>
            <w:r>
              <w:t>3.5</w:t>
            </w:r>
          </w:p>
        </w:tc>
        <w:tc>
          <w:tcPr>
            <w:tcW w:w="7350" w:type="dxa"/>
          </w:tcPr>
          <w:p w14:paraId="52BFCA64" w14:textId="77777777" w:rsidR="006D724E" w:rsidRDefault="009F37FD">
            <w:pPr>
              <w:pStyle w:val="TableParagraph"/>
              <w:spacing w:before="113"/>
              <w:ind w:left="108"/>
            </w:pPr>
            <w:r>
              <w:t>Bank and Building Society Accounts</w:t>
            </w:r>
          </w:p>
        </w:tc>
        <w:tc>
          <w:tcPr>
            <w:tcW w:w="1276" w:type="dxa"/>
          </w:tcPr>
          <w:p w14:paraId="52BFCA65" w14:textId="2255E829" w:rsidR="006D724E" w:rsidRDefault="00227360">
            <w:pPr>
              <w:pStyle w:val="TableParagraph"/>
              <w:spacing w:before="113"/>
              <w:ind w:left="112" w:right="106"/>
              <w:jc w:val="center"/>
              <w:rPr>
                <w:sz w:val="20"/>
              </w:rPr>
            </w:pPr>
            <w:r>
              <w:rPr>
                <w:sz w:val="20"/>
              </w:rPr>
              <w:t>19</w:t>
            </w:r>
          </w:p>
        </w:tc>
      </w:tr>
      <w:tr w:rsidR="000A73BC" w14:paraId="52BFCA6A" w14:textId="77777777">
        <w:trPr>
          <w:trHeight w:val="618"/>
        </w:trPr>
        <w:tc>
          <w:tcPr>
            <w:tcW w:w="881" w:type="dxa"/>
          </w:tcPr>
          <w:p w14:paraId="52BFCA67" w14:textId="77777777" w:rsidR="006D724E" w:rsidRDefault="009F37FD">
            <w:pPr>
              <w:pStyle w:val="TableParagraph"/>
              <w:spacing w:before="113"/>
            </w:pPr>
            <w:r>
              <w:t>3.6</w:t>
            </w:r>
          </w:p>
        </w:tc>
        <w:tc>
          <w:tcPr>
            <w:tcW w:w="7350" w:type="dxa"/>
          </w:tcPr>
          <w:p w14:paraId="52BFCA68" w14:textId="77777777" w:rsidR="006D724E" w:rsidRDefault="009F37FD">
            <w:pPr>
              <w:pStyle w:val="TableParagraph"/>
              <w:spacing w:before="113"/>
              <w:ind w:left="108"/>
            </w:pPr>
            <w:r>
              <w:t>Borrowing by Schools</w:t>
            </w:r>
          </w:p>
        </w:tc>
        <w:tc>
          <w:tcPr>
            <w:tcW w:w="1276" w:type="dxa"/>
          </w:tcPr>
          <w:p w14:paraId="52BFCA69" w14:textId="16E13B08" w:rsidR="006D724E" w:rsidRDefault="00227360">
            <w:pPr>
              <w:pStyle w:val="TableParagraph"/>
              <w:spacing w:before="113"/>
              <w:ind w:left="112" w:right="106"/>
              <w:jc w:val="center"/>
              <w:rPr>
                <w:sz w:val="20"/>
              </w:rPr>
            </w:pPr>
            <w:r>
              <w:rPr>
                <w:sz w:val="20"/>
              </w:rPr>
              <w:t>20</w:t>
            </w:r>
          </w:p>
        </w:tc>
      </w:tr>
      <w:tr w:rsidR="000A73BC" w14:paraId="52BFCA6E" w14:textId="77777777">
        <w:trPr>
          <w:trHeight w:val="997"/>
        </w:trPr>
        <w:tc>
          <w:tcPr>
            <w:tcW w:w="881" w:type="dxa"/>
          </w:tcPr>
          <w:p w14:paraId="52BFCA6B" w14:textId="77777777" w:rsidR="006D724E" w:rsidRDefault="009F37FD">
            <w:pPr>
              <w:pStyle w:val="TableParagraph"/>
              <w:spacing w:before="111"/>
              <w:rPr>
                <w:b/>
              </w:rPr>
            </w:pPr>
            <w:r>
              <w:rPr>
                <w:b/>
              </w:rPr>
              <w:t>4.</w:t>
            </w:r>
          </w:p>
        </w:tc>
        <w:tc>
          <w:tcPr>
            <w:tcW w:w="7350" w:type="dxa"/>
          </w:tcPr>
          <w:p w14:paraId="52BFCA6C" w14:textId="77777777" w:rsidR="006D724E" w:rsidRDefault="009F37FD">
            <w:pPr>
              <w:pStyle w:val="TableParagraph"/>
              <w:spacing w:before="111" w:line="360" w:lineRule="auto"/>
              <w:ind w:left="108" w:right="142"/>
              <w:rPr>
                <w:b/>
              </w:rPr>
            </w:pPr>
            <w:r>
              <w:rPr>
                <w:b/>
              </w:rPr>
              <w:t>The Treatment of Surplus and Deficit Balances Arising in Relation to Budget</w:t>
            </w:r>
            <w:r>
              <w:rPr>
                <w:b/>
                <w:spacing w:val="-1"/>
              </w:rPr>
              <w:t xml:space="preserve"> </w:t>
            </w:r>
            <w:r>
              <w:rPr>
                <w:b/>
              </w:rPr>
              <w:t>Shares</w:t>
            </w:r>
          </w:p>
        </w:tc>
        <w:tc>
          <w:tcPr>
            <w:tcW w:w="1276" w:type="dxa"/>
          </w:tcPr>
          <w:p w14:paraId="52BFCA6D" w14:textId="77777777" w:rsidR="006D724E" w:rsidRDefault="006D724E">
            <w:pPr>
              <w:pStyle w:val="TableParagraph"/>
              <w:spacing w:before="113"/>
              <w:ind w:left="112" w:right="106"/>
              <w:jc w:val="center"/>
              <w:rPr>
                <w:sz w:val="20"/>
              </w:rPr>
            </w:pPr>
          </w:p>
        </w:tc>
      </w:tr>
      <w:tr w:rsidR="000A73BC" w14:paraId="52BFCA72" w14:textId="77777777">
        <w:trPr>
          <w:trHeight w:val="621"/>
        </w:trPr>
        <w:tc>
          <w:tcPr>
            <w:tcW w:w="881" w:type="dxa"/>
          </w:tcPr>
          <w:p w14:paraId="52BFCA6F" w14:textId="77777777" w:rsidR="006D724E" w:rsidRDefault="009F37FD">
            <w:pPr>
              <w:pStyle w:val="TableParagraph"/>
              <w:spacing w:before="116"/>
            </w:pPr>
            <w:r>
              <w:t>4.1</w:t>
            </w:r>
          </w:p>
        </w:tc>
        <w:tc>
          <w:tcPr>
            <w:tcW w:w="7350" w:type="dxa"/>
          </w:tcPr>
          <w:p w14:paraId="52BFCA70" w14:textId="77777777" w:rsidR="006D724E" w:rsidRDefault="009F37FD">
            <w:pPr>
              <w:pStyle w:val="TableParagraph"/>
              <w:spacing w:before="116"/>
              <w:ind w:left="108"/>
            </w:pPr>
            <w:r>
              <w:t>Right to Carry Forward Surplus Balances</w:t>
            </w:r>
          </w:p>
        </w:tc>
        <w:tc>
          <w:tcPr>
            <w:tcW w:w="1276" w:type="dxa"/>
          </w:tcPr>
          <w:p w14:paraId="52BFCA71" w14:textId="45C62A59" w:rsidR="006D724E" w:rsidRDefault="009F37FD" w:rsidP="00227360">
            <w:pPr>
              <w:pStyle w:val="TableParagraph"/>
              <w:spacing w:before="115"/>
              <w:ind w:left="112" w:right="106"/>
              <w:jc w:val="center"/>
              <w:rPr>
                <w:sz w:val="20"/>
              </w:rPr>
            </w:pPr>
            <w:r>
              <w:rPr>
                <w:sz w:val="20"/>
              </w:rPr>
              <w:t>2</w:t>
            </w:r>
            <w:r w:rsidR="00227360">
              <w:rPr>
                <w:sz w:val="20"/>
              </w:rPr>
              <w:t>2</w:t>
            </w:r>
          </w:p>
        </w:tc>
      </w:tr>
      <w:tr w:rsidR="000A73BC" w14:paraId="52BFCA76" w14:textId="77777777">
        <w:trPr>
          <w:trHeight w:val="618"/>
        </w:trPr>
        <w:tc>
          <w:tcPr>
            <w:tcW w:w="881" w:type="dxa"/>
          </w:tcPr>
          <w:p w14:paraId="52BFCA73" w14:textId="77777777" w:rsidR="006D724E" w:rsidRDefault="009F37FD">
            <w:pPr>
              <w:pStyle w:val="TableParagraph"/>
              <w:spacing w:before="113"/>
            </w:pPr>
            <w:r>
              <w:t>4.2</w:t>
            </w:r>
          </w:p>
        </w:tc>
        <w:tc>
          <w:tcPr>
            <w:tcW w:w="7350" w:type="dxa"/>
          </w:tcPr>
          <w:p w14:paraId="52BFCA74" w14:textId="77777777" w:rsidR="006D724E" w:rsidRDefault="009F37FD">
            <w:pPr>
              <w:pStyle w:val="TableParagraph"/>
              <w:spacing w:before="113"/>
              <w:ind w:left="108"/>
            </w:pPr>
            <w:r>
              <w:t>Controls on Surplus Balances</w:t>
            </w:r>
          </w:p>
        </w:tc>
        <w:tc>
          <w:tcPr>
            <w:tcW w:w="1276" w:type="dxa"/>
          </w:tcPr>
          <w:p w14:paraId="52BFCA75" w14:textId="42F96C07" w:rsidR="006D724E" w:rsidRDefault="009F37FD" w:rsidP="00227360">
            <w:pPr>
              <w:pStyle w:val="TableParagraph"/>
              <w:spacing w:before="113"/>
              <w:ind w:left="112" w:right="106"/>
              <w:jc w:val="center"/>
              <w:rPr>
                <w:sz w:val="20"/>
              </w:rPr>
            </w:pPr>
            <w:r>
              <w:rPr>
                <w:sz w:val="20"/>
              </w:rPr>
              <w:t>2</w:t>
            </w:r>
            <w:r w:rsidR="00227360">
              <w:rPr>
                <w:sz w:val="20"/>
              </w:rPr>
              <w:t>2</w:t>
            </w:r>
          </w:p>
        </w:tc>
      </w:tr>
      <w:tr w:rsidR="000A73BC" w14:paraId="52BFCA7A" w14:textId="77777777">
        <w:trPr>
          <w:trHeight w:val="618"/>
        </w:trPr>
        <w:tc>
          <w:tcPr>
            <w:tcW w:w="881" w:type="dxa"/>
          </w:tcPr>
          <w:p w14:paraId="52BFCA77" w14:textId="77777777" w:rsidR="006D724E" w:rsidRDefault="009F37FD">
            <w:pPr>
              <w:pStyle w:val="TableParagraph"/>
              <w:spacing w:before="113"/>
            </w:pPr>
            <w:r>
              <w:t>4.3</w:t>
            </w:r>
          </w:p>
        </w:tc>
        <w:tc>
          <w:tcPr>
            <w:tcW w:w="7350" w:type="dxa"/>
          </w:tcPr>
          <w:p w14:paraId="52BFCA78" w14:textId="77777777" w:rsidR="006D724E" w:rsidRDefault="009F37FD">
            <w:pPr>
              <w:pStyle w:val="TableParagraph"/>
              <w:spacing w:before="113"/>
              <w:ind w:left="108"/>
            </w:pPr>
            <w:r>
              <w:t>Interest on Surplus Balances</w:t>
            </w:r>
          </w:p>
        </w:tc>
        <w:tc>
          <w:tcPr>
            <w:tcW w:w="1276" w:type="dxa"/>
          </w:tcPr>
          <w:p w14:paraId="52BFCA79" w14:textId="28357B58" w:rsidR="006D724E" w:rsidRDefault="006E468B">
            <w:pPr>
              <w:pStyle w:val="TableParagraph"/>
              <w:spacing w:before="113"/>
              <w:ind w:left="112" w:right="106"/>
              <w:jc w:val="center"/>
              <w:rPr>
                <w:sz w:val="20"/>
              </w:rPr>
            </w:pPr>
            <w:r>
              <w:rPr>
                <w:sz w:val="20"/>
              </w:rPr>
              <w:t>23</w:t>
            </w:r>
          </w:p>
        </w:tc>
      </w:tr>
      <w:tr w:rsidR="000A73BC" w14:paraId="52BFCA7E" w14:textId="77777777">
        <w:trPr>
          <w:trHeight w:val="621"/>
        </w:trPr>
        <w:tc>
          <w:tcPr>
            <w:tcW w:w="881" w:type="dxa"/>
          </w:tcPr>
          <w:p w14:paraId="52BFCA7B" w14:textId="77777777" w:rsidR="006D724E" w:rsidRDefault="009F37FD">
            <w:pPr>
              <w:pStyle w:val="TableParagraph"/>
              <w:spacing w:before="113"/>
            </w:pPr>
            <w:r>
              <w:t>4.4</w:t>
            </w:r>
          </w:p>
        </w:tc>
        <w:tc>
          <w:tcPr>
            <w:tcW w:w="7350" w:type="dxa"/>
          </w:tcPr>
          <w:p w14:paraId="52BFCA7C" w14:textId="77777777" w:rsidR="006D724E" w:rsidRDefault="009F37FD">
            <w:pPr>
              <w:pStyle w:val="TableParagraph"/>
              <w:spacing w:before="113"/>
              <w:ind w:left="108"/>
            </w:pPr>
            <w:r>
              <w:t>Obligation to Carry forward Surplus Balances</w:t>
            </w:r>
          </w:p>
        </w:tc>
        <w:tc>
          <w:tcPr>
            <w:tcW w:w="1276" w:type="dxa"/>
          </w:tcPr>
          <w:p w14:paraId="52BFCA7D" w14:textId="0814A905" w:rsidR="006D724E" w:rsidRDefault="006E468B">
            <w:pPr>
              <w:pStyle w:val="TableParagraph"/>
              <w:spacing w:before="113"/>
              <w:ind w:left="112" w:right="106"/>
              <w:jc w:val="center"/>
              <w:rPr>
                <w:sz w:val="20"/>
              </w:rPr>
            </w:pPr>
            <w:r>
              <w:rPr>
                <w:sz w:val="20"/>
              </w:rPr>
              <w:t>23</w:t>
            </w:r>
          </w:p>
        </w:tc>
      </w:tr>
      <w:tr w:rsidR="000A73BC" w14:paraId="52BFCA82" w14:textId="77777777">
        <w:trPr>
          <w:trHeight w:val="618"/>
        </w:trPr>
        <w:tc>
          <w:tcPr>
            <w:tcW w:w="881" w:type="dxa"/>
          </w:tcPr>
          <w:p w14:paraId="52BFCA7F" w14:textId="77777777" w:rsidR="006D724E" w:rsidRDefault="009F37FD">
            <w:pPr>
              <w:pStyle w:val="TableParagraph"/>
              <w:spacing w:before="113"/>
            </w:pPr>
            <w:r>
              <w:t>4.5</w:t>
            </w:r>
          </w:p>
        </w:tc>
        <w:tc>
          <w:tcPr>
            <w:tcW w:w="7350" w:type="dxa"/>
          </w:tcPr>
          <w:p w14:paraId="52BFCA80" w14:textId="65ACE2D6" w:rsidR="006D724E" w:rsidRDefault="006E468B">
            <w:pPr>
              <w:pStyle w:val="TableParagraph"/>
              <w:spacing w:before="113"/>
              <w:ind w:left="108"/>
            </w:pPr>
            <w:r>
              <w:t>Planning for D</w:t>
            </w:r>
            <w:r w:rsidR="009F37FD">
              <w:t>eficit Budgets</w:t>
            </w:r>
          </w:p>
        </w:tc>
        <w:tc>
          <w:tcPr>
            <w:tcW w:w="1276" w:type="dxa"/>
          </w:tcPr>
          <w:p w14:paraId="52BFCA81" w14:textId="32324F38" w:rsidR="006D724E" w:rsidRDefault="006E468B">
            <w:pPr>
              <w:pStyle w:val="TableParagraph"/>
              <w:spacing w:before="113"/>
              <w:ind w:left="112" w:right="106"/>
              <w:jc w:val="center"/>
              <w:rPr>
                <w:sz w:val="20"/>
              </w:rPr>
            </w:pPr>
            <w:r>
              <w:rPr>
                <w:sz w:val="20"/>
              </w:rPr>
              <w:t>23</w:t>
            </w:r>
          </w:p>
        </w:tc>
      </w:tr>
      <w:tr w:rsidR="000A73BC" w14:paraId="52BFCA86" w14:textId="77777777">
        <w:trPr>
          <w:trHeight w:val="619"/>
        </w:trPr>
        <w:tc>
          <w:tcPr>
            <w:tcW w:w="881" w:type="dxa"/>
          </w:tcPr>
          <w:p w14:paraId="52BFCA83" w14:textId="77777777" w:rsidR="006D724E" w:rsidRDefault="009F37FD">
            <w:pPr>
              <w:pStyle w:val="TableParagraph"/>
              <w:spacing w:before="114"/>
            </w:pPr>
            <w:r>
              <w:t>4.6</w:t>
            </w:r>
          </w:p>
        </w:tc>
        <w:tc>
          <w:tcPr>
            <w:tcW w:w="7350" w:type="dxa"/>
          </w:tcPr>
          <w:p w14:paraId="52BFCA84" w14:textId="77777777" w:rsidR="006D724E" w:rsidRDefault="009F37FD">
            <w:pPr>
              <w:pStyle w:val="TableParagraph"/>
              <w:spacing w:before="114"/>
              <w:ind w:left="108"/>
            </w:pPr>
            <w:r>
              <w:t>Charging of Interest on Deficit Balances</w:t>
            </w:r>
          </w:p>
        </w:tc>
        <w:tc>
          <w:tcPr>
            <w:tcW w:w="1276" w:type="dxa"/>
          </w:tcPr>
          <w:p w14:paraId="52BFCA85" w14:textId="5F64056F" w:rsidR="006D724E" w:rsidRDefault="006E468B">
            <w:pPr>
              <w:pStyle w:val="TableParagraph"/>
              <w:spacing w:before="113"/>
              <w:ind w:left="112" w:right="106"/>
              <w:jc w:val="center"/>
              <w:rPr>
                <w:sz w:val="20"/>
              </w:rPr>
            </w:pPr>
            <w:r>
              <w:rPr>
                <w:sz w:val="20"/>
              </w:rPr>
              <w:t>23</w:t>
            </w:r>
          </w:p>
        </w:tc>
      </w:tr>
      <w:tr w:rsidR="000A73BC" w14:paraId="52BFCA8A" w14:textId="77777777">
        <w:trPr>
          <w:trHeight w:val="618"/>
        </w:trPr>
        <w:tc>
          <w:tcPr>
            <w:tcW w:w="881" w:type="dxa"/>
          </w:tcPr>
          <w:p w14:paraId="52BFCA87" w14:textId="77777777" w:rsidR="006D724E" w:rsidRDefault="009F37FD">
            <w:pPr>
              <w:pStyle w:val="TableParagraph"/>
              <w:spacing w:before="113"/>
            </w:pPr>
            <w:r>
              <w:t>4.7</w:t>
            </w:r>
          </w:p>
        </w:tc>
        <w:tc>
          <w:tcPr>
            <w:tcW w:w="7350" w:type="dxa"/>
          </w:tcPr>
          <w:p w14:paraId="52BFCA88" w14:textId="22BBA3E1" w:rsidR="006D724E" w:rsidRDefault="006E468B">
            <w:pPr>
              <w:pStyle w:val="TableParagraph"/>
              <w:spacing w:before="113"/>
              <w:ind w:left="108"/>
            </w:pPr>
            <w:r>
              <w:t>Writing Off Deficits</w:t>
            </w:r>
          </w:p>
        </w:tc>
        <w:tc>
          <w:tcPr>
            <w:tcW w:w="1276" w:type="dxa"/>
          </w:tcPr>
          <w:p w14:paraId="52BFCA89" w14:textId="0582CBFE" w:rsidR="006D724E" w:rsidRDefault="006E468B">
            <w:pPr>
              <w:pStyle w:val="TableParagraph"/>
              <w:spacing w:before="113"/>
              <w:ind w:left="112" w:right="106"/>
              <w:jc w:val="center"/>
              <w:rPr>
                <w:sz w:val="20"/>
              </w:rPr>
            </w:pPr>
            <w:r>
              <w:rPr>
                <w:sz w:val="20"/>
              </w:rPr>
              <w:t>23</w:t>
            </w:r>
          </w:p>
        </w:tc>
      </w:tr>
      <w:tr w:rsidR="000A73BC" w14:paraId="52BFCA8E" w14:textId="77777777">
        <w:trPr>
          <w:trHeight w:val="621"/>
        </w:trPr>
        <w:tc>
          <w:tcPr>
            <w:tcW w:w="881" w:type="dxa"/>
          </w:tcPr>
          <w:p w14:paraId="52BFCA8B" w14:textId="77777777" w:rsidR="006D724E" w:rsidRDefault="009F37FD">
            <w:pPr>
              <w:pStyle w:val="TableParagraph"/>
              <w:spacing w:before="116"/>
            </w:pPr>
            <w:r>
              <w:t>4.8</w:t>
            </w:r>
          </w:p>
        </w:tc>
        <w:tc>
          <w:tcPr>
            <w:tcW w:w="7350" w:type="dxa"/>
          </w:tcPr>
          <w:p w14:paraId="52BFCA8C" w14:textId="77777777" w:rsidR="006D724E" w:rsidRDefault="009F37FD">
            <w:pPr>
              <w:pStyle w:val="TableParagraph"/>
              <w:spacing w:before="116"/>
              <w:ind w:left="108"/>
            </w:pPr>
            <w:r>
              <w:t>Balances of Closing and Replacement Schools</w:t>
            </w:r>
          </w:p>
        </w:tc>
        <w:tc>
          <w:tcPr>
            <w:tcW w:w="1276" w:type="dxa"/>
          </w:tcPr>
          <w:p w14:paraId="52BFCA8D" w14:textId="287FAB2F" w:rsidR="006D724E" w:rsidRDefault="006E468B">
            <w:pPr>
              <w:pStyle w:val="TableParagraph"/>
              <w:spacing w:before="115"/>
              <w:ind w:left="112" w:right="106"/>
              <w:jc w:val="center"/>
              <w:rPr>
                <w:sz w:val="20"/>
              </w:rPr>
            </w:pPr>
            <w:r>
              <w:rPr>
                <w:sz w:val="20"/>
              </w:rPr>
              <w:t>23</w:t>
            </w:r>
          </w:p>
        </w:tc>
      </w:tr>
      <w:tr w:rsidR="000A73BC" w14:paraId="52BFCA92" w14:textId="77777777">
        <w:trPr>
          <w:trHeight w:val="618"/>
        </w:trPr>
        <w:tc>
          <w:tcPr>
            <w:tcW w:w="881" w:type="dxa"/>
          </w:tcPr>
          <w:p w14:paraId="52BFCA8F" w14:textId="77777777" w:rsidR="006D724E" w:rsidRDefault="009F37FD">
            <w:pPr>
              <w:pStyle w:val="TableParagraph"/>
              <w:spacing w:before="113"/>
            </w:pPr>
            <w:r>
              <w:t>4.9</w:t>
            </w:r>
          </w:p>
        </w:tc>
        <w:tc>
          <w:tcPr>
            <w:tcW w:w="7350" w:type="dxa"/>
          </w:tcPr>
          <w:p w14:paraId="52BFCA90" w14:textId="77777777" w:rsidR="006D724E" w:rsidRDefault="009F37FD">
            <w:pPr>
              <w:pStyle w:val="TableParagraph"/>
              <w:spacing w:before="113"/>
              <w:ind w:left="108"/>
            </w:pPr>
            <w:r>
              <w:t>Licensed Deficits</w:t>
            </w:r>
          </w:p>
        </w:tc>
        <w:tc>
          <w:tcPr>
            <w:tcW w:w="1276" w:type="dxa"/>
          </w:tcPr>
          <w:p w14:paraId="52BFCA91" w14:textId="53C9985B" w:rsidR="006D724E" w:rsidRDefault="006E468B">
            <w:pPr>
              <w:pStyle w:val="TableParagraph"/>
              <w:spacing w:before="113"/>
              <w:ind w:left="112" w:right="106"/>
              <w:jc w:val="center"/>
              <w:rPr>
                <w:sz w:val="20"/>
              </w:rPr>
            </w:pPr>
            <w:r>
              <w:rPr>
                <w:sz w:val="20"/>
              </w:rPr>
              <w:t>23</w:t>
            </w:r>
          </w:p>
        </w:tc>
      </w:tr>
      <w:tr w:rsidR="000A73BC" w14:paraId="52BFCA96" w14:textId="77777777">
        <w:trPr>
          <w:trHeight w:val="621"/>
        </w:trPr>
        <w:tc>
          <w:tcPr>
            <w:tcW w:w="881" w:type="dxa"/>
          </w:tcPr>
          <w:p w14:paraId="52BFCA93" w14:textId="77777777" w:rsidR="006D724E" w:rsidRDefault="009F37FD">
            <w:pPr>
              <w:pStyle w:val="TableParagraph"/>
              <w:spacing w:before="116"/>
            </w:pPr>
            <w:r>
              <w:lastRenderedPageBreak/>
              <w:t>4.10</w:t>
            </w:r>
          </w:p>
        </w:tc>
        <w:tc>
          <w:tcPr>
            <w:tcW w:w="7350" w:type="dxa"/>
          </w:tcPr>
          <w:p w14:paraId="52BFCA94" w14:textId="77777777" w:rsidR="006D724E" w:rsidRDefault="009F37FD">
            <w:pPr>
              <w:pStyle w:val="TableParagraph"/>
              <w:spacing w:before="116"/>
              <w:ind w:left="108"/>
            </w:pPr>
            <w:r w:rsidRPr="00CF2474">
              <w:t>Loan Schemes</w:t>
            </w:r>
          </w:p>
        </w:tc>
        <w:tc>
          <w:tcPr>
            <w:tcW w:w="1276" w:type="dxa"/>
          </w:tcPr>
          <w:p w14:paraId="52BFCA95" w14:textId="3147B03F" w:rsidR="006D724E" w:rsidRDefault="006E468B" w:rsidP="006D724E">
            <w:pPr>
              <w:pStyle w:val="TableParagraph"/>
              <w:spacing w:before="113"/>
              <w:ind w:left="112" w:right="106"/>
              <w:jc w:val="center"/>
              <w:rPr>
                <w:rFonts w:ascii="Times New Roman"/>
                <w:sz w:val="20"/>
              </w:rPr>
            </w:pPr>
            <w:r>
              <w:rPr>
                <w:sz w:val="20"/>
              </w:rPr>
              <w:t>24</w:t>
            </w:r>
          </w:p>
        </w:tc>
      </w:tr>
      <w:tr w:rsidR="000A73BC" w14:paraId="52BFCA9A" w14:textId="77777777">
        <w:trPr>
          <w:trHeight w:val="618"/>
        </w:trPr>
        <w:tc>
          <w:tcPr>
            <w:tcW w:w="881" w:type="dxa"/>
          </w:tcPr>
          <w:p w14:paraId="52BFCA97" w14:textId="77777777" w:rsidR="006D724E" w:rsidRDefault="009F37FD">
            <w:pPr>
              <w:pStyle w:val="TableParagraph"/>
              <w:spacing w:before="113"/>
            </w:pPr>
            <w:r>
              <w:t>4.11</w:t>
            </w:r>
          </w:p>
        </w:tc>
        <w:tc>
          <w:tcPr>
            <w:tcW w:w="7350" w:type="dxa"/>
          </w:tcPr>
          <w:p w14:paraId="52BFCA98" w14:textId="77777777" w:rsidR="006D724E" w:rsidRDefault="009F37FD">
            <w:pPr>
              <w:pStyle w:val="TableParagraph"/>
              <w:spacing w:before="113"/>
              <w:ind w:left="108"/>
            </w:pPr>
            <w:r>
              <w:t>Credit Union Approach</w:t>
            </w:r>
          </w:p>
        </w:tc>
        <w:tc>
          <w:tcPr>
            <w:tcW w:w="1276" w:type="dxa"/>
          </w:tcPr>
          <w:p w14:paraId="52BFCA99" w14:textId="4F7B95C2" w:rsidR="006D724E" w:rsidRDefault="006E468B" w:rsidP="006D724E">
            <w:pPr>
              <w:pStyle w:val="TableParagraph"/>
              <w:spacing w:before="113"/>
              <w:ind w:left="112" w:right="106"/>
              <w:jc w:val="center"/>
              <w:rPr>
                <w:sz w:val="20"/>
              </w:rPr>
            </w:pPr>
            <w:r>
              <w:rPr>
                <w:sz w:val="20"/>
              </w:rPr>
              <w:t>25</w:t>
            </w:r>
          </w:p>
        </w:tc>
      </w:tr>
      <w:tr w:rsidR="000A73BC" w14:paraId="52BFCA9E" w14:textId="77777777">
        <w:trPr>
          <w:trHeight w:val="618"/>
        </w:trPr>
        <w:tc>
          <w:tcPr>
            <w:tcW w:w="881" w:type="dxa"/>
          </w:tcPr>
          <w:p w14:paraId="52BFCA9B" w14:textId="77777777" w:rsidR="006D724E" w:rsidRDefault="009F37FD">
            <w:pPr>
              <w:pStyle w:val="TableParagraph"/>
              <w:spacing w:before="111"/>
              <w:rPr>
                <w:b/>
              </w:rPr>
            </w:pPr>
            <w:r>
              <w:rPr>
                <w:b/>
              </w:rPr>
              <w:t>5.</w:t>
            </w:r>
          </w:p>
        </w:tc>
        <w:tc>
          <w:tcPr>
            <w:tcW w:w="7350" w:type="dxa"/>
          </w:tcPr>
          <w:p w14:paraId="52BFCA9C" w14:textId="77777777" w:rsidR="006D724E" w:rsidRDefault="009F37FD">
            <w:pPr>
              <w:pStyle w:val="TableParagraph"/>
              <w:spacing w:before="111"/>
              <w:ind w:left="108"/>
              <w:rPr>
                <w:b/>
              </w:rPr>
            </w:pPr>
            <w:r>
              <w:rPr>
                <w:b/>
              </w:rPr>
              <w:t>Income</w:t>
            </w:r>
          </w:p>
        </w:tc>
        <w:tc>
          <w:tcPr>
            <w:tcW w:w="1276" w:type="dxa"/>
          </w:tcPr>
          <w:p w14:paraId="52BFCA9D" w14:textId="77777777" w:rsidR="006D724E" w:rsidRDefault="006D724E">
            <w:pPr>
              <w:pStyle w:val="TableParagraph"/>
              <w:spacing w:before="110"/>
              <w:ind w:left="112" w:right="106"/>
              <w:jc w:val="center"/>
              <w:rPr>
                <w:b/>
                <w:sz w:val="20"/>
              </w:rPr>
            </w:pPr>
          </w:p>
        </w:tc>
      </w:tr>
      <w:tr w:rsidR="000A73BC" w14:paraId="52BFCAA2" w14:textId="77777777">
        <w:trPr>
          <w:trHeight w:val="621"/>
        </w:trPr>
        <w:tc>
          <w:tcPr>
            <w:tcW w:w="881" w:type="dxa"/>
          </w:tcPr>
          <w:p w14:paraId="52BFCA9F" w14:textId="77777777" w:rsidR="006D724E" w:rsidRDefault="009F37FD">
            <w:pPr>
              <w:pStyle w:val="TableParagraph"/>
              <w:spacing w:before="113"/>
            </w:pPr>
            <w:r>
              <w:t>5.1</w:t>
            </w:r>
          </w:p>
        </w:tc>
        <w:tc>
          <w:tcPr>
            <w:tcW w:w="7350" w:type="dxa"/>
          </w:tcPr>
          <w:p w14:paraId="52BFCAA0" w14:textId="77777777" w:rsidR="006D724E" w:rsidRDefault="009F37FD">
            <w:pPr>
              <w:pStyle w:val="TableParagraph"/>
              <w:spacing w:before="113"/>
              <w:ind w:left="108"/>
            </w:pPr>
            <w:r>
              <w:t>Income from Lettings</w:t>
            </w:r>
          </w:p>
        </w:tc>
        <w:tc>
          <w:tcPr>
            <w:tcW w:w="1276" w:type="dxa"/>
          </w:tcPr>
          <w:p w14:paraId="52BFCAA1" w14:textId="04ADD7BC" w:rsidR="006D724E" w:rsidRDefault="009F37FD" w:rsidP="006E468B">
            <w:pPr>
              <w:pStyle w:val="TableParagraph"/>
              <w:spacing w:before="113"/>
              <w:ind w:left="112" w:right="106"/>
              <w:jc w:val="center"/>
              <w:rPr>
                <w:sz w:val="20"/>
              </w:rPr>
            </w:pPr>
            <w:r>
              <w:rPr>
                <w:sz w:val="20"/>
              </w:rPr>
              <w:t>2</w:t>
            </w:r>
            <w:r w:rsidR="006E468B">
              <w:rPr>
                <w:sz w:val="20"/>
              </w:rPr>
              <w:t>6</w:t>
            </w:r>
          </w:p>
        </w:tc>
      </w:tr>
      <w:tr w:rsidR="000A73BC" w14:paraId="52BFCAA6" w14:textId="77777777">
        <w:trPr>
          <w:trHeight w:val="618"/>
        </w:trPr>
        <w:tc>
          <w:tcPr>
            <w:tcW w:w="881" w:type="dxa"/>
          </w:tcPr>
          <w:p w14:paraId="52BFCAA3" w14:textId="77777777" w:rsidR="006D724E" w:rsidRDefault="009F37FD">
            <w:pPr>
              <w:pStyle w:val="TableParagraph"/>
              <w:spacing w:before="113"/>
            </w:pPr>
            <w:r>
              <w:t>5.2</w:t>
            </w:r>
          </w:p>
        </w:tc>
        <w:tc>
          <w:tcPr>
            <w:tcW w:w="7350" w:type="dxa"/>
          </w:tcPr>
          <w:p w14:paraId="52BFCAA4" w14:textId="77777777" w:rsidR="006D724E" w:rsidRDefault="009F37FD">
            <w:pPr>
              <w:pStyle w:val="TableParagraph"/>
              <w:spacing w:before="113"/>
              <w:ind w:left="108"/>
            </w:pPr>
            <w:r>
              <w:t>Income from Fees and Charges</w:t>
            </w:r>
          </w:p>
        </w:tc>
        <w:tc>
          <w:tcPr>
            <w:tcW w:w="1276" w:type="dxa"/>
          </w:tcPr>
          <w:p w14:paraId="52BFCAA5" w14:textId="64FD2188" w:rsidR="006D724E" w:rsidRDefault="006E468B">
            <w:pPr>
              <w:pStyle w:val="TableParagraph"/>
              <w:spacing w:before="113"/>
              <w:ind w:left="112" w:right="106"/>
              <w:jc w:val="center"/>
              <w:rPr>
                <w:sz w:val="20"/>
              </w:rPr>
            </w:pPr>
            <w:r>
              <w:rPr>
                <w:sz w:val="20"/>
              </w:rPr>
              <w:t>26</w:t>
            </w:r>
          </w:p>
        </w:tc>
      </w:tr>
      <w:tr w:rsidR="000A73BC" w14:paraId="52BFCAAA" w14:textId="77777777">
        <w:trPr>
          <w:trHeight w:val="619"/>
        </w:trPr>
        <w:tc>
          <w:tcPr>
            <w:tcW w:w="881" w:type="dxa"/>
          </w:tcPr>
          <w:p w14:paraId="52BFCAA7" w14:textId="77777777" w:rsidR="006D724E" w:rsidRDefault="009F37FD">
            <w:pPr>
              <w:pStyle w:val="TableParagraph"/>
              <w:spacing w:before="114"/>
            </w:pPr>
            <w:r>
              <w:t>5.3</w:t>
            </w:r>
          </w:p>
        </w:tc>
        <w:tc>
          <w:tcPr>
            <w:tcW w:w="7350" w:type="dxa"/>
          </w:tcPr>
          <w:p w14:paraId="52BFCAA8" w14:textId="77777777" w:rsidR="006D724E" w:rsidRDefault="009F37FD">
            <w:pPr>
              <w:pStyle w:val="TableParagraph"/>
              <w:spacing w:before="114"/>
              <w:ind w:left="108"/>
            </w:pPr>
            <w:r>
              <w:t>Income from Fund Raising Activities</w:t>
            </w:r>
          </w:p>
        </w:tc>
        <w:tc>
          <w:tcPr>
            <w:tcW w:w="1276" w:type="dxa"/>
          </w:tcPr>
          <w:p w14:paraId="52BFCAA9" w14:textId="58CD0618" w:rsidR="006D724E" w:rsidRDefault="006E468B">
            <w:pPr>
              <w:pStyle w:val="TableParagraph"/>
              <w:spacing w:before="113"/>
              <w:ind w:left="112" w:right="106"/>
              <w:jc w:val="center"/>
              <w:rPr>
                <w:sz w:val="20"/>
              </w:rPr>
            </w:pPr>
            <w:r>
              <w:rPr>
                <w:sz w:val="20"/>
              </w:rPr>
              <w:t>26</w:t>
            </w:r>
          </w:p>
        </w:tc>
      </w:tr>
      <w:tr w:rsidR="000A73BC" w14:paraId="52BFCAAE" w14:textId="77777777">
        <w:trPr>
          <w:trHeight w:val="618"/>
        </w:trPr>
        <w:tc>
          <w:tcPr>
            <w:tcW w:w="881" w:type="dxa"/>
          </w:tcPr>
          <w:p w14:paraId="52BFCAAB" w14:textId="77777777" w:rsidR="006D724E" w:rsidRDefault="009F37FD">
            <w:pPr>
              <w:pStyle w:val="TableParagraph"/>
              <w:spacing w:before="113"/>
            </w:pPr>
            <w:r>
              <w:t>5.4</w:t>
            </w:r>
          </w:p>
        </w:tc>
        <w:tc>
          <w:tcPr>
            <w:tcW w:w="7350" w:type="dxa"/>
          </w:tcPr>
          <w:p w14:paraId="52BFCAAC" w14:textId="77777777" w:rsidR="006D724E" w:rsidRDefault="009F37FD">
            <w:pPr>
              <w:pStyle w:val="TableParagraph"/>
              <w:spacing w:before="113"/>
              <w:ind w:left="108"/>
            </w:pPr>
            <w:r>
              <w:t>Income from Sale of Assets</w:t>
            </w:r>
          </w:p>
        </w:tc>
        <w:tc>
          <w:tcPr>
            <w:tcW w:w="1276" w:type="dxa"/>
          </w:tcPr>
          <w:p w14:paraId="52BFCAAD" w14:textId="194A4ADD" w:rsidR="006D724E" w:rsidRDefault="006E468B">
            <w:pPr>
              <w:pStyle w:val="TableParagraph"/>
              <w:spacing w:before="113"/>
              <w:ind w:left="112" w:right="106"/>
              <w:jc w:val="center"/>
              <w:rPr>
                <w:sz w:val="20"/>
              </w:rPr>
            </w:pPr>
            <w:r>
              <w:rPr>
                <w:sz w:val="20"/>
              </w:rPr>
              <w:t>26</w:t>
            </w:r>
          </w:p>
        </w:tc>
      </w:tr>
      <w:tr w:rsidR="000A73BC" w14:paraId="52BFCAB2" w14:textId="77777777">
        <w:trPr>
          <w:trHeight w:val="621"/>
        </w:trPr>
        <w:tc>
          <w:tcPr>
            <w:tcW w:w="881" w:type="dxa"/>
          </w:tcPr>
          <w:p w14:paraId="52BFCAAF" w14:textId="77777777" w:rsidR="006D724E" w:rsidRDefault="009F37FD">
            <w:pPr>
              <w:pStyle w:val="TableParagraph"/>
              <w:spacing w:before="116"/>
            </w:pPr>
            <w:r>
              <w:t>5.5</w:t>
            </w:r>
          </w:p>
        </w:tc>
        <w:tc>
          <w:tcPr>
            <w:tcW w:w="7350" w:type="dxa"/>
          </w:tcPr>
          <w:p w14:paraId="52BFCAB0" w14:textId="77777777" w:rsidR="006D724E" w:rsidRDefault="009F37FD">
            <w:pPr>
              <w:pStyle w:val="TableParagraph"/>
              <w:spacing w:before="116"/>
              <w:ind w:left="108"/>
            </w:pPr>
            <w:r>
              <w:t>Administrative Procedures for Collection of Income</w:t>
            </w:r>
          </w:p>
        </w:tc>
        <w:tc>
          <w:tcPr>
            <w:tcW w:w="1276" w:type="dxa"/>
          </w:tcPr>
          <w:p w14:paraId="52BFCAB1" w14:textId="24711C3F" w:rsidR="006D724E" w:rsidRDefault="006E468B">
            <w:pPr>
              <w:pStyle w:val="TableParagraph"/>
              <w:spacing w:before="115"/>
              <w:ind w:left="112" w:right="106"/>
              <w:jc w:val="center"/>
              <w:rPr>
                <w:sz w:val="20"/>
              </w:rPr>
            </w:pPr>
            <w:r>
              <w:rPr>
                <w:sz w:val="20"/>
              </w:rPr>
              <w:t>26</w:t>
            </w:r>
          </w:p>
        </w:tc>
      </w:tr>
      <w:tr w:rsidR="000A73BC" w14:paraId="52BFCAB6" w14:textId="77777777">
        <w:trPr>
          <w:trHeight w:val="618"/>
        </w:trPr>
        <w:tc>
          <w:tcPr>
            <w:tcW w:w="881" w:type="dxa"/>
          </w:tcPr>
          <w:p w14:paraId="52BFCAB3" w14:textId="77777777" w:rsidR="006D724E" w:rsidRDefault="009F37FD">
            <w:pPr>
              <w:pStyle w:val="TableParagraph"/>
              <w:spacing w:before="113"/>
            </w:pPr>
            <w:r>
              <w:t>5.6</w:t>
            </w:r>
          </w:p>
        </w:tc>
        <w:tc>
          <w:tcPr>
            <w:tcW w:w="7350" w:type="dxa"/>
          </w:tcPr>
          <w:p w14:paraId="52BFCAB4" w14:textId="71631FFF" w:rsidR="006D724E" w:rsidRDefault="00A314CE">
            <w:pPr>
              <w:pStyle w:val="TableParagraph"/>
              <w:spacing w:before="113"/>
              <w:ind w:left="108"/>
            </w:pPr>
            <w:r>
              <w:t>Purposes for Which Income M</w:t>
            </w:r>
            <w:r w:rsidR="009F37FD">
              <w:t>ay be Used</w:t>
            </w:r>
          </w:p>
        </w:tc>
        <w:tc>
          <w:tcPr>
            <w:tcW w:w="1276" w:type="dxa"/>
          </w:tcPr>
          <w:p w14:paraId="52BFCAB5" w14:textId="28861F1C" w:rsidR="006D724E" w:rsidRDefault="006E468B">
            <w:pPr>
              <w:pStyle w:val="TableParagraph"/>
              <w:spacing w:before="113"/>
              <w:ind w:left="112" w:right="106"/>
              <w:jc w:val="center"/>
              <w:rPr>
                <w:sz w:val="20"/>
              </w:rPr>
            </w:pPr>
            <w:r>
              <w:rPr>
                <w:sz w:val="20"/>
              </w:rPr>
              <w:t>26</w:t>
            </w:r>
          </w:p>
        </w:tc>
      </w:tr>
      <w:tr w:rsidR="000A73BC" w14:paraId="52BFCABA" w14:textId="77777777">
        <w:trPr>
          <w:trHeight w:val="618"/>
        </w:trPr>
        <w:tc>
          <w:tcPr>
            <w:tcW w:w="881" w:type="dxa"/>
          </w:tcPr>
          <w:p w14:paraId="52BFCAB7" w14:textId="77777777" w:rsidR="006D724E" w:rsidRDefault="009F37FD">
            <w:pPr>
              <w:pStyle w:val="TableParagraph"/>
              <w:spacing w:before="111"/>
              <w:rPr>
                <w:b/>
              </w:rPr>
            </w:pPr>
            <w:r>
              <w:rPr>
                <w:b/>
              </w:rPr>
              <w:t>6.</w:t>
            </w:r>
          </w:p>
        </w:tc>
        <w:tc>
          <w:tcPr>
            <w:tcW w:w="7350" w:type="dxa"/>
          </w:tcPr>
          <w:p w14:paraId="52BFCAB8" w14:textId="77777777" w:rsidR="006D724E" w:rsidRDefault="009F37FD">
            <w:pPr>
              <w:pStyle w:val="TableParagraph"/>
              <w:spacing w:before="111"/>
              <w:ind w:left="108"/>
              <w:rPr>
                <w:b/>
              </w:rPr>
            </w:pPr>
            <w:r>
              <w:rPr>
                <w:b/>
              </w:rPr>
              <w:t>The Charging of School Budget Shares</w:t>
            </w:r>
          </w:p>
        </w:tc>
        <w:tc>
          <w:tcPr>
            <w:tcW w:w="1276" w:type="dxa"/>
          </w:tcPr>
          <w:p w14:paraId="52BFCAB9" w14:textId="77777777" w:rsidR="006D724E" w:rsidRDefault="006D724E">
            <w:pPr>
              <w:pStyle w:val="TableParagraph"/>
              <w:spacing w:before="110"/>
              <w:ind w:left="112" w:right="106"/>
              <w:jc w:val="center"/>
              <w:rPr>
                <w:b/>
                <w:sz w:val="20"/>
              </w:rPr>
            </w:pPr>
          </w:p>
        </w:tc>
      </w:tr>
      <w:tr w:rsidR="000A73BC" w14:paraId="52BFCABE" w14:textId="77777777">
        <w:trPr>
          <w:trHeight w:val="621"/>
        </w:trPr>
        <w:tc>
          <w:tcPr>
            <w:tcW w:w="881" w:type="dxa"/>
          </w:tcPr>
          <w:p w14:paraId="52BFCABB" w14:textId="77777777" w:rsidR="006D724E" w:rsidRDefault="009F37FD">
            <w:pPr>
              <w:pStyle w:val="TableParagraph"/>
              <w:spacing w:before="114"/>
            </w:pPr>
            <w:r>
              <w:t>6.1</w:t>
            </w:r>
          </w:p>
        </w:tc>
        <w:tc>
          <w:tcPr>
            <w:tcW w:w="7350" w:type="dxa"/>
          </w:tcPr>
          <w:p w14:paraId="52BFCABC" w14:textId="77777777" w:rsidR="006D724E" w:rsidRDefault="009F37FD">
            <w:pPr>
              <w:pStyle w:val="TableParagraph"/>
              <w:spacing w:before="114"/>
              <w:ind w:left="108"/>
            </w:pPr>
            <w:r>
              <w:t>General Provision</w:t>
            </w:r>
          </w:p>
        </w:tc>
        <w:tc>
          <w:tcPr>
            <w:tcW w:w="1276" w:type="dxa"/>
          </w:tcPr>
          <w:p w14:paraId="52BFCABD" w14:textId="6D006931" w:rsidR="006D724E" w:rsidRDefault="006E468B" w:rsidP="006D724E">
            <w:pPr>
              <w:pStyle w:val="TableParagraph"/>
              <w:spacing w:before="113"/>
              <w:ind w:left="112" w:right="106"/>
              <w:jc w:val="center"/>
              <w:rPr>
                <w:sz w:val="20"/>
              </w:rPr>
            </w:pPr>
            <w:r>
              <w:rPr>
                <w:sz w:val="20"/>
              </w:rPr>
              <w:t>27</w:t>
            </w:r>
          </w:p>
        </w:tc>
      </w:tr>
      <w:tr w:rsidR="000A73BC" w14:paraId="52BFCAC2" w14:textId="77777777">
        <w:trPr>
          <w:trHeight w:val="618"/>
        </w:trPr>
        <w:tc>
          <w:tcPr>
            <w:tcW w:w="881" w:type="dxa"/>
          </w:tcPr>
          <w:p w14:paraId="52BFCABF" w14:textId="77777777" w:rsidR="006D724E" w:rsidRDefault="009F37FD">
            <w:pPr>
              <w:pStyle w:val="TableParagraph"/>
              <w:spacing w:before="113"/>
            </w:pPr>
            <w:r>
              <w:t>6.2</w:t>
            </w:r>
          </w:p>
        </w:tc>
        <w:tc>
          <w:tcPr>
            <w:tcW w:w="7350" w:type="dxa"/>
          </w:tcPr>
          <w:p w14:paraId="52BFCAC0" w14:textId="34719480" w:rsidR="006D724E" w:rsidRDefault="00A314CE">
            <w:pPr>
              <w:pStyle w:val="TableParagraph"/>
              <w:spacing w:before="113"/>
              <w:ind w:left="108"/>
            </w:pPr>
            <w:r>
              <w:t>Circumstances in Which Charges M</w:t>
            </w:r>
            <w:r w:rsidR="009F37FD">
              <w:t>ay be Made</w:t>
            </w:r>
          </w:p>
        </w:tc>
        <w:tc>
          <w:tcPr>
            <w:tcW w:w="1276" w:type="dxa"/>
          </w:tcPr>
          <w:p w14:paraId="52BFCAC1" w14:textId="0B407035" w:rsidR="006D724E" w:rsidRDefault="006E468B">
            <w:pPr>
              <w:pStyle w:val="TableParagraph"/>
              <w:spacing w:before="113"/>
              <w:ind w:left="112" w:right="106"/>
              <w:jc w:val="center"/>
              <w:rPr>
                <w:sz w:val="20"/>
              </w:rPr>
            </w:pPr>
            <w:r>
              <w:rPr>
                <w:sz w:val="20"/>
              </w:rPr>
              <w:t>27</w:t>
            </w:r>
          </w:p>
        </w:tc>
      </w:tr>
      <w:tr w:rsidR="000A73BC" w14:paraId="52BFCAC6" w14:textId="77777777">
        <w:trPr>
          <w:trHeight w:val="618"/>
        </w:trPr>
        <w:tc>
          <w:tcPr>
            <w:tcW w:w="881" w:type="dxa"/>
          </w:tcPr>
          <w:p w14:paraId="52BFCAC3" w14:textId="77777777" w:rsidR="006D724E" w:rsidRDefault="009F37FD">
            <w:pPr>
              <w:pStyle w:val="TableParagraph"/>
              <w:spacing w:before="111"/>
              <w:rPr>
                <w:b/>
              </w:rPr>
            </w:pPr>
            <w:r>
              <w:rPr>
                <w:b/>
              </w:rPr>
              <w:t>7.</w:t>
            </w:r>
          </w:p>
        </w:tc>
        <w:tc>
          <w:tcPr>
            <w:tcW w:w="7350" w:type="dxa"/>
          </w:tcPr>
          <w:p w14:paraId="52BFCAC4" w14:textId="77777777" w:rsidR="006D724E" w:rsidRDefault="009F37FD">
            <w:pPr>
              <w:pStyle w:val="TableParagraph"/>
              <w:spacing w:before="111"/>
              <w:ind w:left="108"/>
              <w:rPr>
                <w:b/>
              </w:rPr>
            </w:pPr>
            <w:r>
              <w:rPr>
                <w:b/>
              </w:rPr>
              <w:t>Taxation</w:t>
            </w:r>
          </w:p>
        </w:tc>
        <w:tc>
          <w:tcPr>
            <w:tcW w:w="1276" w:type="dxa"/>
          </w:tcPr>
          <w:p w14:paraId="52BFCAC5" w14:textId="77777777" w:rsidR="006D724E" w:rsidRDefault="006D724E">
            <w:pPr>
              <w:pStyle w:val="TableParagraph"/>
              <w:spacing w:before="110"/>
              <w:ind w:left="113" w:right="106"/>
              <w:jc w:val="center"/>
              <w:rPr>
                <w:b/>
                <w:sz w:val="20"/>
              </w:rPr>
            </w:pPr>
          </w:p>
        </w:tc>
      </w:tr>
      <w:tr w:rsidR="000A73BC" w14:paraId="52BFCACA" w14:textId="77777777">
        <w:trPr>
          <w:trHeight w:val="618"/>
        </w:trPr>
        <w:tc>
          <w:tcPr>
            <w:tcW w:w="881" w:type="dxa"/>
          </w:tcPr>
          <w:p w14:paraId="52BFCAC7" w14:textId="77777777" w:rsidR="006D724E" w:rsidRDefault="009F37FD">
            <w:pPr>
              <w:pStyle w:val="TableParagraph"/>
              <w:spacing w:before="113"/>
            </w:pPr>
            <w:r>
              <w:t>7.1</w:t>
            </w:r>
          </w:p>
        </w:tc>
        <w:tc>
          <w:tcPr>
            <w:tcW w:w="7350" w:type="dxa"/>
          </w:tcPr>
          <w:p w14:paraId="52BFCAC8" w14:textId="77777777" w:rsidR="006D724E" w:rsidRDefault="009F37FD">
            <w:pPr>
              <w:pStyle w:val="TableParagraph"/>
              <w:spacing w:before="113"/>
              <w:ind w:left="108"/>
            </w:pPr>
            <w:r>
              <w:t>Value Added Tax</w:t>
            </w:r>
          </w:p>
        </w:tc>
        <w:tc>
          <w:tcPr>
            <w:tcW w:w="1276" w:type="dxa"/>
          </w:tcPr>
          <w:p w14:paraId="52BFCAC9" w14:textId="49F3EAFE" w:rsidR="006D724E" w:rsidRDefault="00081C8B" w:rsidP="006D724E">
            <w:pPr>
              <w:pStyle w:val="TableParagraph"/>
              <w:spacing w:before="113"/>
              <w:ind w:left="113" w:right="106"/>
              <w:jc w:val="center"/>
              <w:rPr>
                <w:sz w:val="20"/>
              </w:rPr>
            </w:pPr>
            <w:r>
              <w:rPr>
                <w:sz w:val="20"/>
              </w:rPr>
              <w:t>29</w:t>
            </w:r>
          </w:p>
        </w:tc>
      </w:tr>
      <w:tr w:rsidR="000A73BC" w14:paraId="52BFCACE" w14:textId="77777777">
        <w:trPr>
          <w:trHeight w:val="621"/>
        </w:trPr>
        <w:tc>
          <w:tcPr>
            <w:tcW w:w="881" w:type="dxa"/>
          </w:tcPr>
          <w:p w14:paraId="52BFCACB" w14:textId="77777777" w:rsidR="006D724E" w:rsidRDefault="009F37FD">
            <w:pPr>
              <w:pStyle w:val="TableParagraph"/>
              <w:spacing w:before="116"/>
            </w:pPr>
            <w:r>
              <w:t>7.2</w:t>
            </w:r>
          </w:p>
        </w:tc>
        <w:tc>
          <w:tcPr>
            <w:tcW w:w="7350" w:type="dxa"/>
          </w:tcPr>
          <w:p w14:paraId="52BFCACC" w14:textId="77777777" w:rsidR="006D724E" w:rsidRDefault="009F37FD">
            <w:pPr>
              <w:pStyle w:val="TableParagraph"/>
              <w:spacing w:before="116"/>
              <w:ind w:left="108"/>
            </w:pPr>
            <w:r>
              <w:t>Construction Industry Tax Deduction Scheme</w:t>
            </w:r>
          </w:p>
        </w:tc>
        <w:tc>
          <w:tcPr>
            <w:tcW w:w="1276" w:type="dxa"/>
          </w:tcPr>
          <w:p w14:paraId="52BFCACD" w14:textId="478DAF51" w:rsidR="006D724E" w:rsidRDefault="00081C8B">
            <w:pPr>
              <w:pStyle w:val="TableParagraph"/>
              <w:spacing w:before="115"/>
              <w:ind w:left="113" w:right="106"/>
              <w:jc w:val="center"/>
              <w:rPr>
                <w:sz w:val="20"/>
              </w:rPr>
            </w:pPr>
            <w:r>
              <w:rPr>
                <w:sz w:val="20"/>
              </w:rPr>
              <w:t>29</w:t>
            </w:r>
          </w:p>
        </w:tc>
      </w:tr>
      <w:tr w:rsidR="000A73BC" w14:paraId="52BFCAD2" w14:textId="77777777">
        <w:trPr>
          <w:trHeight w:val="619"/>
        </w:trPr>
        <w:tc>
          <w:tcPr>
            <w:tcW w:w="881" w:type="dxa"/>
          </w:tcPr>
          <w:p w14:paraId="52BFCACF" w14:textId="77777777" w:rsidR="006D724E" w:rsidRDefault="009F37FD">
            <w:pPr>
              <w:pStyle w:val="TableParagraph"/>
              <w:spacing w:before="111"/>
              <w:rPr>
                <w:b/>
              </w:rPr>
            </w:pPr>
            <w:r>
              <w:rPr>
                <w:b/>
              </w:rPr>
              <w:t>8.</w:t>
            </w:r>
          </w:p>
        </w:tc>
        <w:tc>
          <w:tcPr>
            <w:tcW w:w="7350" w:type="dxa"/>
          </w:tcPr>
          <w:p w14:paraId="52BFCAD0" w14:textId="77777777" w:rsidR="006D724E" w:rsidRDefault="009F37FD">
            <w:pPr>
              <w:pStyle w:val="TableParagraph"/>
              <w:spacing w:before="111"/>
              <w:ind w:left="108"/>
              <w:rPr>
                <w:b/>
              </w:rPr>
            </w:pPr>
            <w:r>
              <w:rPr>
                <w:b/>
              </w:rPr>
              <w:t>The Provision of Services and Facilities by the Authority</w:t>
            </w:r>
          </w:p>
        </w:tc>
        <w:tc>
          <w:tcPr>
            <w:tcW w:w="1276" w:type="dxa"/>
          </w:tcPr>
          <w:p w14:paraId="52BFCAD1" w14:textId="77777777" w:rsidR="006D724E" w:rsidRDefault="006D724E">
            <w:pPr>
              <w:pStyle w:val="TableParagraph"/>
              <w:spacing w:before="111"/>
              <w:ind w:left="113" w:right="106"/>
              <w:jc w:val="center"/>
              <w:rPr>
                <w:b/>
                <w:sz w:val="20"/>
              </w:rPr>
            </w:pPr>
          </w:p>
        </w:tc>
      </w:tr>
      <w:tr w:rsidR="000A73BC" w14:paraId="52BFCAD6" w14:textId="77777777">
        <w:trPr>
          <w:trHeight w:val="618"/>
        </w:trPr>
        <w:tc>
          <w:tcPr>
            <w:tcW w:w="881" w:type="dxa"/>
          </w:tcPr>
          <w:p w14:paraId="52BFCAD3" w14:textId="77777777" w:rsidR="006D724E" w:rsidRDefault="009F37FD">
            <w:pPr>
              <w:pStyle w:val="TableParagraph"/>
              <w:spacing w:before="113"/>
            </w:pPr>
            <w:r>
              <w:t>8.1</w:t>
            </w:r>
          </w:p>
        </w:tc>
        <w:tc>
          <w:tcPr>
            <w:tcW w:w="7350" w:type="dxa"/>
          </w:tcPr>
          <w:p w14:paraId="52BFCAD4" w14:textId="77777777" w:rsidR="006D724E" w:rsidRDefault="009F37FD">
            <w:pPr>
              <w:pStyle w:val="TableParagraph"/>
              <w:spacing w:before="113"/>
              <w:ind w:left="108"/>
            </w:pPr>
            <w:r>
              <w:t>Provision of Services from Centrally Retained Budgets</w:t>
            </w:r>
          </w:p>
        </w:tc>
        <w:tc>
          <w:tcPr>
            <w:tcW w:w="1276" w:type="dxa"/>
          </w:tcPr>
          <w:p w14:paraId="52BFCAD5" w14:textId="1313A5B0" w:rsidR="006D724E" w:rsidRDefault="00081C8B" w:rsidP="006D724E">
            <w:pPr>
              <w:pStyle w:val="TableParagraph"/>
              <w:spacing w:before="113"/>
              <w:ind w:left="113" w:right="106"/>
              <w:jc w:val="center"/>
              <w:rPr>
                <w:sz w:val="20"/>
              </w:rPr>
            </w:pPr>
            <w:r>
              <w:rPr>
                <w:sz w:val="20"/>
              </w:rPr>
              <w:t>30</w:t>
            </w:r>
          </w:p>
        </w:tc>
      </w:tr>
      <w:tr w:rsidR="000A73BC" w14:paraId="52BFCADA" w14:textId="77777777">
        <w:trPr>
          <w:trHeight w:val="618"/>
        </w:trPr>
        <w:tc>
          <w:tcPr>
            <w:tcW w:w="881" w:type="dxa"/>
          </w:tcPr>
          <w:p w14:paraId="52BFCAD7" w14:textId="77777777" w:rsidR="006D724E" w:rsidRDefault="009F37FD">
            <w:pPr>
              <w:pStyle w:val="TableParagraph"/>
              <w:spacing w:before="113"/>
            </w:pPr>
            <w:r>
              <w:t>8.2</w:t>
            </w:r>
          </w:p>
        </w:tc>
        <w:tc>
          <w:tcPr>
            <w:tcW w:w="7350" w:type="dxa"/>
          </w:tcPr>
          <w:p w14:paraId="52BFCAD8" w14:textId="77777777" w:rsidR="006D724E" w:rsidRDefault="009F37FD">
            <w:pPr>
              <w:pStyle w:val="TableParagraph"/>
              <w:spacing w:before="113"/>
              <w:ind w:left="108"/>
            </w:pPr>
            <w:r>
              <w:t>Provision of Services Bought Back from the Authority</w:t>
            </w:r>
          </w:p>
        </w:tc>
        <w:tc>
          <w:tcPr>
            <w:tcW w:w="1276" w:type="dxa"/>
          </w:tcPr>
          <w:p w14:paraId="52BFCAD9" w14:textId="7DF4B736" w:rsidR="006D724E" w:rsidRDefault="00081C8B">
            <w:pPr>
              <w:pStyle w:val="TableParagraph"/>
              <w:spacing w:before="113"/>
              <w:ind w:left="112" w:right="106"/>
              <w:jc w:val="center"/>
              <w:rPr>
                <w:sz w:val="20"/>
              </w:rPr>
            </w:pPr>
            <w:r>
              <w:rPr>
                <w:sz w:val="20"/>
              </w:rPr>
              <w:t>30</w:t>
            </w:r>
          </w:p>
        </w:tc>
      </w:tr>
      <w:tr w:rsidR="000A73BC" w14:paraId="52BFCADE" w14:textId="77777777">
        <w:trPr>
          <w:trHeight w:val="621"/>
        </w:trPr>
        <w:tc>
          <w:tcPr>
            <w:tcW w:w="881" w:type="dxa"/>
          </w:tcPr>
          <w:p w14:paraId="52BFCADB" w14:textId="77777777" w:rsidR="006D724E" w:rsidRDefault="009F37FD">
            <w:pPr>
              <w:pStyle w:val="TableParagraph"/>
              <w:spacing w:before="116"/>
            </w:pPr>
            <w:r>
              <w:t>8.3</w:t>
            </w:r>
          </w:p>
        </w:tc>
        <w:tc>
          <w:tcPr>
            <w:tcW w:w="7350" w:type="dxa"/>
          </w:tcPr>
          <w:p w14:paraId="52BFCADC" w14:textId="77777777" w:rsidR="006D724E" w:rsidRDefault="009F37FD">
            <w:pPr>
              <w:pStyle w:val="TableParagraph"/>
              <w:spacing w:before="116"/>
              <w:ind w:left="108"/>
            </w:pPr>
            <w:r>
              <w:t>Service Level Agreements</w:t>
            </w:r>
          </w:p>
        </w:tc>
        <w:tc>
          <w:tcPr>
            <w:tcW w:w="1276" w:type="dxa"/>
          </w:tcPr>
          <w:p w14:paraId="52BFCADD" w14:textId="03459F5B" w:rsidR="006D724E" w:rsidRDefault="00081C8B">
            <w:pPr>
              <w:pStyle w:val="TableParagraph"/>
              <w:spacing w:before="115"/>
              <w:ind w:left="113" w:right="106"/>
              <w:jc w:val="center"/>
              <w:rPr>
                <w:sz w:val="20"/>
              </w:rPr>
            </w:pPr>
            <w:r>
              <w:rPr>
                <w:sz w:val="20"/>
              </w:rPr>
              <w:t>30</w:t>
            </w:r>
          </w:p>
        </w:tc>
      </w:tr>
      <w:tr w:rsidR="000A73BC" w14:paraId="52BFCAE2" w14:textId="77777777">
        <w:trPr>
          <w:trHeight w:val="618"/>
        </w:trPr>
        <w:tc>
          <w:tcPr>
            <w:tcW w:w="881" w:type="dxa"/>
          </w:tcPr>
          <w:p w14:paraId="52BFCADF" w14:textId="77777777" w:rsidR="006D724E" w:rsidRDefault="009F37FD">
            <w:pPr>
              <w:pStyle w:val="TableParagraph"/>
              <w:spacing w:before="113"/>
            </w:pPr>
            <w:r>
              <w:t>8.4</w:t>
            </w:r>
          </w:p>
        </w:tc>
        <w:tc>
          <w:tcPr>
            <w:tcW w:w="7350" w:type="dxa"/>
          </w:tcPr>
          <w:p w14:paraId="52BFCAE0" w14:textId="77777777" w:rsidR="006D724E" w:rsidRDefault="009F37FD">
            <w:pPr>
              <w:pStyle w:val="TableParagraph"/>
              <w:spacing w:before="113"/>
              <w:ind w:left="108"/>
            </w:pPr>
            <w:r>
              <w:t>Teachers’ Pensions</w:t>
            </w:r>
          </w:p>
        </w:tc>
        <w:tc>
          <w:tcPr>
            <w:tcW w:w="1276" w:type="dxa"/>
          </w:tcPr>
          <w:p w14:paraId="52BFCAE1" w14:textId="40E098FF" w:rsidR="006D724E" w:rsidRDefault="00081C8B">
            <w:pPr>
              <w:pStyle w:val="TableParagraph"/>
              <w:spacing w:before="113"/>
              <w:ind w:left="113" w:right="106"/>
              <w:jc w:val="center"/>
              <w:rPr>
                <w:sz w:val="20"/>
              </w:rPr>
            </w:pPr>
            <w:r>
              <w:rPr>
                <w:sz w:val="20"/>
              </w:rPr>
              <w:t>31</w:t>
            </w:r>
          </w:p>
        </w:tc>
      </w:tr>
      <w:tr w:rsidR="000A73BC" w14:paraId="52BFCAE6" w14:textId="77777777">
        <w:trPr>
          <w:trHeight w:val="619"/>
        </w:trPr>
        <w:tc>
          <w:tcPr>
            <w:tcW w:w="881" w:type="dxa"/>
          </w:tcPr>
          <w:p w14:paraId="52BFCAE3" w14:textId="77777777" w:rsidR="006D724E" w:rsidRDefault="009F37FD">
            <w:pPr>
              <w:pStyle w:val="TableParagraph"/>
              <w:spacing w:before="111"/>
              <w:rPr>
                <w:b/>
              </w:rPr>
            </w:pPr>
            <w:r>
              <w:rPr>
                <w:b/>
              </w:rPr>
              <w:t>9.</w:t>
            </w:r>
          </w:p>
        </w:tc>
        <w:tc>
          <w:tcPr>
            <w:tcW w:w="7350" w:type="dxa"/>
          </w:tcPr>
          <w:p w14:paraId="52BFCAE4" w14:textId="77777777" w:rsidR="006D724E" w:rsidRDefault="009F37FD">
            <w:pPr>
              <w:pStyle w:val="TableParagraph"/>
              <w:spacing w:before="111"/>
              <w:ind w:left="108"/>
              <w:rPr>
                <w:b/>
              </w:rPr>
            </w:pPr>
            <w:r>
              <w:rPr>
                <w:b/>
              </w:rPr>
              <w:t>PFI</w:t>
            </w:r>
          </w:p>
        </w:tc>
        <w:tc>
          <w:tcPr>
            <w:tcW w:w="1276" w:type="dxa"/>
          </w:tcPr>
          <w:p w14:paraId="52BFCAE5" w14:textId="143F86AA" w:rsidR="006D724E" w:rsidRDefault="00081C8B">
            <w:pPr>
              <w:pStyle w:val="TableParagraph"/>
              <w:spacing w:before="111"/>
              <w:ind w:left="113" w:right="106"/>
              <w:jc w:val="center"/>
              <w:rPr>
                <w:b/>
                <w:sz w:val="20"/>
              </w:rPr>
            </w:pPr>
            <w:r>
              <w:rPr>
                <w:b/>
                <w:sz w:val="20"/>
              </w:rPr>
              <w:t>32</w:t>
            </w:r>
          </w:p>
        </w:tc>
      </w:tr>
      <w:tr w:rsidR="008B40F5" w14:paraId="09D9C370" w14:textId="77777777">
        <w:trPr>
          <w:trHeight w:val="619"/>
        </w:trPr>
        <w:tc>
          <w:tcPr>
            <w:tcW w:w="881" w:type="dxa"/>
          </w:tcPr>
          <w:p w14:paraId="0D57EF97" w14:textId="022B62AD" w:rsidR="008B40F5" w:rsidRDefault="008B40F5">
            <w:pPr>
              <w:pStyle w:val="TableParagraph"/>
              <w:spacing w:before="111"/>
              <w:rPr>
                <w:b/>
              </w:rPr>
            </w:pPr>
            <w:r>
              <w:rPr>
                <w:b/>
              </w:rPr>
              <w:t>10.</w:t>
            </w:r>
          </w:p>
        </w:tc>
        <w:tc>
          <w:tcPr>
            <w:tcW w:w="7350" w:type="dxa"/>
          </w:tcPr>
          <w:p w14:paraId="018F1B1F" w14:textId="1DE9B7AB" w:rsidR="008B40F5" w:rsidRDefault="008B40F5">
            <w:pPr>
              <w:pStyle w:val="TableParagraph"/>
              <w:spacing w:before="111"/>
              <w:ind w:left="108"/>
              <w:rPr>
                <w:b/>
              </w:rPr>
            </w:pPr>
            <w:r>
              <w:rPr>
                <w:b/>
              </w:rPr>
              <w:t>Insurance</w:t>
            </w:r>
          </w:p>
        </w:tc>
        <w:tc>
          <w:tcPr>
            <w:tcW w:w="1276" w:type="dxa"/>
          </w:tcPr>
          <w:p w14:paraId="6A102EA1" w14:textId="11893CA8" w:rsidR="008B40F5" w:rsidRDefault="008B40F5">
            <w:pPr>
              <w:pStyle w:val="TableParagraph"/>
              <w:spacing w:before="111"/>
              <w:ind w:left="113" w:right="106"/>
              <w:jc w:val="center"/>
              <w:rPr>
                <w:b/>
                <w:sz w:val="20"/>
              </w:rPr>
            </w:pPr>
          </w:p>
        </w:tc>
      </w:tr>
      <w:tr w:rsidR="006E468B" w14:paraId="6A27B4EA" w14:textId="77777777">
        <w:trPr>
          <w:trHeight w:val="619"/>
        </w:trPr>
        <w:tc>
          <w:tcPr>
            <w:tcW w:w="881" w:type="dxa"/>
          </w:tcPr>
          <w:p w14:paraId="4ED0128B" w14:textId="729338DC" w:rsidR="006E468B" w:rsidRPr="006E468B" w:rsidRDefault="006E468B">
            <w:pPr>
              <w:pStyle w:val="TableParagraph"/>
              <w:spacing w:before="111"/>
            </w:pPr>
            <w:r w:rsidRPr="006E468B">
              <w:t>10.1</w:t>
            </w:r>
          </w:p>
        </w:tc>
        <w:tc>
          <w:tcPr>
            <w:tcW w:w="7350" w:type="dxa"/>
          </w:tcPr>
          <w:p w14:paraId="1F644034" w14:textId="3F98E44C" w:rsidR="006E468B" w:rsidRPr="006E468B" w:rsidRDefault="006E468B">
            <w:pPr>
              <w:pStyle w:val="TableParagraph"/>
              <w:spacing w:before="111"/>
              <w:ind w:left="108"/>
            </w:pPr>
            <w:r w:rsidRPr="006E468B">
              <w:t>Insurance Cover</w:t>
            </w:r>
          </w:p>
        </w:tc>
        <w:tc>
          <w:tcPr>
            <w:tcW w:w="1276" w:type="dxa"/>
          </w:tcPr>
          <w:p w14:paraId="63FFDF55" w14:textId="0216A5F4" w:rsidR="006E468B" w:rsidRPr="006E468B" w:rsidRDefault="00081C8B">
            <w:pPr>
              <w:pStyle w:val="TableParagraph"/>
              <w:spacing w:before="111"/>
              <w:ind w:left="113" w:right="106"/>
              <w:jc w:val="center"/>
              <w:rPr>
                <w:sz w:val="20"/>
              </w:rPr>
            </w:pPr>
            <w:r>
              <w:rPr>
                <w:sz w:val="20"/>
              </w:rPr>
              <w:t>33</w:t>
            </w:r>
          </w:p>
        </w:tc>
      </w:tr>
    </w:tbl>
    <w:p w14:paraId="52BFCAE7" w14:textId="77777777" w:rsidR="006D724E" w:rsidRDefault="006D724E">
      <w:pPr>
        <w:jc w:val="center"/>
        <w:rPr>
          <w:sz w:val="24"/>
        </w:rPr>
        <w:sectPr w:rsidR="006D724E">
          <w:pgSz w:w="11910" w:h="16840"/>
          <w:pgMar w:top="840" w:right="140" w:bottom="280" w:left="220" w:header="720" w:footer="720" w:gutter="0"/>
          <w:cols w:space="720"/>
        </w:sect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AEB" w14:textId="77777777">
        <w:trPr>
          <w:trHeight w:val="621"/>
        </w:trPr>
        <w:tc>
          <w:tcPr>
            <w:tcW w:w="881" w:type="dxa"/>
          </w:tcPr>
          <w:p w14:paraId="52BFCAE8" w14:textId="77777777" w:rsidR="006D724E" w:rsidRDefault="009F37FD">
            <w:pPr>
              <w:pStyle w:val="TableParagraph"/>
              <w:spacing w:before="114"/>
              <w:rPr>
                <w:b/>
              </w:rPr>
            </w:pPr>
            <w:r>
              <w:rPr>
                <w:b/>
              </w:rPr>
              <w:lastRenderedPageBreak/>
              <w:t>11.</w:t>
            </w:r>
          </w:p>
        </w:tc>
        <w:tc>
          <w:tcPr>
            <w:tcW w:w="7350" w:type="dxa"/>
          </w:tcPr>
          <w:p w14:paraId="52BFCAE9" w14:textId="77777777" w:rsidR="006D724E" w:rsidRDefault="009F37FD">
            <w:pPr>
              <w:pStyle w:val="TableParagraph"/>
              <w:spacing w:before="114"/>
              <w:ind w:left="108"/>
              <w:rPr>
                <w:b/>
              </w:rPr>
            </w:pPr>
            <w:r>
              <w:rPr>
                <w:b/>
              </w:rPr>
              <w:t>Miscellaneous</w:t>
            </w:r>
          </w:p>
        </w:tc>
        <w:tc>
          <w:tcPr>
            <w:tcW w:w="1276" w:type="dxa"/>
          </w:tcPr>
          <w:p w14:paraId="52BFCAEA" w14:textId="77777777" w:rsidR="006D724E" w:rsidRDefault="006D724E">
            <w:pPr>
              <w:pStyle w:val="TableParagraph"/>
              <w:spacing w:before="113"/>
              <w:ind w:left="113" w:right="106"/>
              <w:jc w:val="center"/>
              <w:rPr>
                <w:b/>
                <w:sz w:val="20"/>
              </w:rPr>
            </w:pPr>
          </w:p>
        </w:tc>
      </w:tr>
      <w:tr w:rsidR="000A73BC" w14:paraId="52BFCAEF" w14:textId="77777777">
        <w:trPr>
          <w:trHeight w:val="618"/>
        </w:trPr>
        <w:tc>
          <w:tcPr>
            <w:tcW w:w="881" w:type="dxa"/>
          </w:tcPr>
          <w:p w14:paraId="52BFCAEC" w14:textId="77777777" w:rsidR="006D724E" w:rsidRDefault="009F37FD">
            <w:pPr>
              <w:pStyle w:val="TableParagraph"/>
              <w:spacing w:before="113"/>
            </w:pPr>
            <w:r>
              <w:t>11.1</w:t>
            </w:r>
          </w:p>
        </w:tc>
        <w:tc>
          <w:tcPr>
            <w:tcW w:w="7350" w:type="dxa"/>
          </w:tcPr>
          <w:p w14:paraId="52BFCAED" w14:textId="77777777" w:rsidR="006D724E" w:rsidRDefault="009F37FD">
            <w:pPr>
              <w:pStyle w:val="TableParagraph"/>
              <w:spacing w:before="113"/>
              <w:ind w:left="108"/>
            </w:pPr>
            <w:r>
              <w:t>Right of Access to Information</w:t>
            </w:r>
          </w:p>
        </w:tc>
        <w:tc>
          <w:tcPr>
            <w:tcW w:w="1276" w:type="dxa"/>
          </w:tcPr>
          <w:p w14:paraId="52BFCAEE" w14:textId="0BF033F0" w:rsidR="006D724E" w:rsidRDefault="00081C8B" w:rsidP="006D724E">
            <w:pPr>
              <w:pStyle w:val="TableParagraph"/>
              <w:spacing w:before="113"/>
              <w:ind w:left="113" w:right="106"/>
              <w:jc w:val="center"/>
              <w:rPr>
                <w:sz w:val="20"/>
              </w:rPr>
            </w:pPr>
            <w:r>
              <w:rPr>
                <w:sz w:val="20"/>
              </w:rPr>
              <w:t>34</w:t>
            </w:r>
          </w:p>
        </w:tc>
      </w:tr>
      <w:tr w:rsidR="000A73BC" w14:paraId="52BFCAF3" w14:textId="77777777">
        <w:trPr>
          <w:trHeight w:val="618"/>
        </w:trPr>
        <w:tc>
          <w:tcPr>
            <w:tcW w:w="881" w:type="dxa"/>
          </w:tcPr>
          <w:p w14:paraId="52BFCAF0" w14:textId="77777777" w:rsidR="006D724E" w:rsidRDefault="009F37FD">
            <w:pPr>
              <w:pStyle w:val="TableParagraph"/>
              <w:spacing w:before="113"/>
            </w:pPr>
            <w:r>
              <w:t>11.2</w:t>
            </w:r>
          </w:p>
        </w:tc>
        <w:tc>
          <w:tcPr>
            <w:tcW w:w="7350" w:type="dxa"/>
          </w:tcPr>
          <w:p w14:paraId="52BFCAF1" w14:textId="77777777" w:rsidR="006D724E" w:rsidRDefault="009F37FD">
            <w:pPr>
              <w:pStyle w:val="TableParagraph"/>
              <w:spacing w:before="113"/>
              <w:ind w:left="108"/>
            </w:pPr>
            <w:r>
              <w:t>Liability of Governors</w:t>
            </w:r>
          </w:p>
        </w:tc>
        <w:tc>
          <w:tcPr>
            <w:tcW w:w="1276" w:type="dxa"/>
          </w:tcPr>
          <w:p w14:paraId="52BFCAF2" w14:textId="10856F0D" w:rsidR="006D724E" w:rsidRDefault="00081C8B">
            <w:pPr>
              <w:pStyle w:val="TableParagraph"/>
              <w:spacing w:before="113"/>
              <w:ind w:left="113" w:right="106"/>
              <w:jc w:val="center"/>
              <w:rPr>
                <w:sz w:val="20"/>
              </w:rPr>
            </w:pPr>
            <w:r>
              <w:rPr>
                <w:sz w:val="20"/>
              </w:rPr>
              <w:t>34</w:t>
            </w:r>
          </w:p>
        </w:tc>
      </w:tr>
      <w:tr w:rsidR="000A73BC" w14:paraId="52BFCAF7" w14:textId="77777777">
        <w:trPr>
          <w:trHeight w:val="621"/>
        </w:trPr>
        <w:tc>
          <w:tcPr>
            <w:tcW w:w="881" w:type="dxa"/>
          </w:tcPr>
          <w:p w14:paraId="52BFCAF4" w14:textId="77777777" w:rsidR="006D724E" w:rsidRDefault="009F37FD">
            <w:pPr>
              <w:pStyle w:val="TableParagraph"/>
              <w:spacing w:before="113"/>
            </w:pPr>
            <w:r>
              <w:t>11.3</w:t>
            </w:r>
          </w:p>
        </w:tc>
        <w:tc>
          <w:tcPr>
            <w:tcW w:w="7350" w:type="dxa"/>
          </w:tcPr>
          <w:p w14:paraId="52BFCAF5" w14:textId="3F676D41" w:rsidR="006D724E" w:rsidRDefault="009F37FD" w:rsidP="006E468B">
            <w:pPr>
              <w:pStyle w:val="TableParagraph"/>
              <w:spacing w:before="113"/>
              <w:ind w:left="108"/>
            </w:pPr>
            <w:r>
              <w:t xml:space="preserve">Governors </w:t>
            </w:r>
            <w:r w:rsidR="006E468B">
              <w:t>Allowances</w:t>
            </w:r>
          </w:p>
        </w:tc>
        <w:tc>
          <w:tcPr>
            <w:tcW w:w="1276" w:type="dxa"/>
          </w:tcPr>
          <w:p w14:paraId="52BFCAF6" w14:textId="62F38231" w:rsidR="006D724E" w:rsidRDefault="00081C8B">
            <w:pPr>
              <w:pStyle w:val="TableParagraph"/>
              <w:spacing w:before="113"/>
              <w:ind w:left="113" w:right="106"/>
              <w:jc w:val="center"/>
              <w:rPr>
                <w:sz w:val="20"/>
              </w:rPr>
            </w:pPr>
            <w:r>
              <w:rPr>
                <w:sz w:val="20"/>
              </w:rPr>
              <w:t>34</w:t>
            </w:r>
          </w:p>
        </w:tc>
      </w:tr>
      <w:tr w:rsidR="000A73BC" w14:paraId="52BFCAFB" w14:textId="77777777">
        <w:trPr>
          <w:trHeight w:val="618"/>
        </w:trPr>
        <w:tc>
          <w:tcPr>
            <w:tcW w:w="881" w:type="dxa"/>
          </w:tcPr>
          <w:p w14:paraId="52BFCAF8" w14:textId="77777777" w:rsidR="006D724E" w:rsidRDefault="009F37FD">
            <w:pPr>
              <w:pStyle w:val="TableParagraph"/>
              <w:spacing w:before="113"/>
            </w:pPr>
            <w:r>
              <w:t>11.4</w:t>
            </w:r>
          </w:p>
        </w:tc>
        <w:tc>
          <w:tcPr>
            <w:tcW w:w="7350" w:type="dxa"/>
          </w:tcPr>
          <w:p w14:paraId="52BFCAF9" w14:textId="77777777" w:rsidR="006D724E" w:rsidRDefault="009F37FD">
            <w:pPr>
              <w:pStyle w:val="TableParagraph"/>
              <w:spacing w:before="113"/>
              <w:ind w:left="108"/>
            </w:pPr>
            <w:r>
              <w:t>Responsibility for Legal Costs</w:t>
            </w:r>
          </w:p>
        </w:tc>
        <w:tc>
          <w:tcPr>
            <w:tcW w:w="1276" w:type="dxa"/>
          </w:tcPr>
          <w:p w14:paraId="52BFCAFA" w14:textId="18BDD201" w:rsidR="006D724E" w:rsidRDefault="00081C8B">
            <w:pPr>
              <w:pStyle w:val="TableParagraph"/>
              <w:spacing w:before="113"/>
              <w:ind w:left="113" w:right="106"/>
              <w:jc w:val="center"/>
              <w:rPr>
                <w:sz w:val="20"/>
              </w:rPr>
            </w:pPr>
            <w:r>
              <w:rPr>
                <w:sz w:val="20"/>
              </w:rPr>
              <w:t>34</w:t>
            </w:r>
          </w:p>
        </w:tc>
      </w:tr>
      <w:tr w:rsidR="000A73BC" w14:paraId="52BFCAFF" w14:textId="77777777">
        <w:trPr>
          <w:trHeight w:val="619"/>
        </w:trPr>
        <w:tc>
          <w:tcPr>
            <w:tcW w:w="881" w:type="dxa"/>
          </w:tcPr>
          <w:p w14:paraId="52BFCAFC" w14:textId="77777777" w:rsidR="006D724E" w:rsidRDefault="009F37FD">
            <w:pPr>
              <w:pStyle w:val="TableParagraph"/>
              <w:spacing w:before="114"/>
            </w:pPr>
            <w:r>
              <w:t>11.5</w:t>
            </w:r>
          </w:p>
        </w:tc>
        <w:tc>
          <w:tcPr>
            <w:tcW w:w="7350" w:type="dxa"/>
          </w:tcPr>
          <w:p w14:paraId="52BFCAFD" w14:textId="67DB8F0D" w:rsidR="006D724E" w:rsidRDefault="009F37FD" w:rsidP="006E468B">
            <w:pPr>
              <w:pStyle w:val="TableParagraph"/>
              <w:spacing w:before="114"/>
              <w:ind w:left="108"/>
            </w:pPr>
            <w:r>
              <w:t xml:space="preserve">Health </w:t>
            </w:r>
            <w:r w:rsidR="006E468B">
              <w:t>and</w:t>
            </w:r>
            <w:r>
              <w:t xml:space="preserve"> Safety</w:t>
            </w:r>
          </w:p>
        </w:tc>
        <w:tc>
          <w:tcPr>
            <w:tcW w:w="1276" w:type="dxa"/>
          </w:tcPr>
          <w:p w14:paraId="52BFCAFE" w14:textId="09F0B172" w:rsidR="006D724E" w:rsidRDefault="00081C8B">
            <w:pPr>
              <w:pStyle w:val="TableParagraph"/>
              <w:spacing w:before="113"/>
              <w:ind w:left="113" w:right="106"/>
              <w:jc w:val="center"/>
              <w:rPr>
                <w:sz w:val="20"/>
              </w:rPr>
            </w:pPr>
            <w:r>
              <w:rPr>
                <w:sz w:val="20"/>
              </w:rPr>
              <w:t>34</w:t>
            </w:r>
          </w:p>
        </w:tc>
      </w:tr>
      <w:tr w:rsidR="000A73BC" w14:paraId="52BFCB03" w14:textId="77777777">
        <w:trPr>
          <w:trHeight w:val="618"/>
        </w:trPr>
        <w:tc>
          <w:tcPr>
            <w:tcW w:w="881" w:type="dxa"/>
          </w:tcPr>
          <w:p w14:paraId="52BFCB00" w14:textId="77777777" w:rsidR="006D724E" w:rsidRDefault="009F37FD">
            <w:pPr>
              <w:pStyle w:val="TableParagraph"/>
              <w:spacing w:before="113"/>
            </w:pPr>
            <w:r>
              <w:t>11.6</w:t>
            </w:r>
          </w:p>
        </w:tc>
        <w:tc>
          <w:tcPr>
            <w:tcW w:w="7350" w:type="dxa"/>
          </w:tcPr>
          <w:p w14:paraId="52BFCB01" w14:textId="77777777" w:rsidR="006D724E" w:rsidRDefault="009F37FD">
            <w:pPr>
              <w:pStyle w:val="TableParagraph"/>
              <w:spacing w:before="113"/>
              <w:ind w:left="108"/>
            </w:pPr>
            <w:r>
              <w:t>Right of Attendance of Chief Finance Officer</w:t>
            </w:r>
          </w:p>
        </w:tc>
        <w:tc>
          <w:tcPr>
            <w:tcW w:w="1276" w:type="dxa"/>
          </w:tcPr>
          <w:p w14:paraId="52BFCB02" w14:textId="1E65C0AC" w:rsidR="006D724E" w:rsidRDefault="00081C8B">
            <w:pPr>
              <w:pStyle w:val="TableParagraph"/>
              <w:spacing w:before="113"/>
              <w:ind w:left="113" w:right="106"/>
              <w:jc w:val="center"/>
              <w:rPr>
                <w:sz w:val="20"/>
              </w:rPr>
            </w:pPr>
            <w:r>
              <w:rPr>
                <w:sz w:val="20"/>
              </w:rPr>
              <w:t>34</w:t>
            </w:r>
          </w:p>
        </w:tc>
      </w:tr>
      <w:tr w:rsidR="000A73BC" w14:paraId="52BFCB07" w14:textId="77777777">
        <w:trPr>
          <w:trHeight w:val="621"/>
        </w:trPr>
        <w:tc>
          <w:tcPr>
            <w:tcW w:w="881" w:type="dxa"/>
          </w:tcPr>
          <w:p w14:paraId="52BFCB04" w14:textId="77777777" w:rsidR="006D724E" w:rsidRDefault="009F37FD">
            <w:pPr>
              <w:pStyle w:val="TableParagraph"/>
              <w:spacing w:before="116"/>
            </w:pPr>
            <w:r>
              <w:t>11.7</w:t>
            </w:r>
          </w:p>
        </w:tc>
        <w:tc>
          <w:tcPr>
            <w:tcW w:w="7350" w:type="dxa"/>
          </w:tcPr>
          <w:p w14:paraId="52BFCB05" w14:textId="77777777" w:rsidR="006D724E" w:rsidRDefault="009F37FD">
            <w:pPr>
              <w:pStyle w:val="TableParagraph"/>
              <w:spacing w:before="116"/>
              <w:ind w:left="108"/>
            </w:pPr>
            <w:r>
              <w:t>Special Educational Needs</w:t>
            </w:r>
          </w:p>
        </w:tc>
        <w:tc>
          <w:tcPr>
            <w:tcW w:w="1276" w:type="dxa"/>
          </w:tcPr>
          <w:p w14:paraId="52BFCB06" w14:textId="25B5E037" w:rsidR="006D724E" w:rsidRDefault="00081C8B">
            <w:pPr>
              <w:pStyle w:val="TableParagraph"/>
              <w:spacing w:before="115"/>
              <w:ind w:left="113" w:right="106"/>
              <w:jc w:val="center"/>
              <w:rPr>
                <w:sz w:val="20"/>
              </w:rPr>
            </w:pPr>
            <w:r>
              <w:rPr>
                <w:sz w:val="20"/>
              </w:rPr>
              <w:t>35</w:t>
            </w:r>
          </w:p>
        </w:tc>
      </w:tr>
      <w:tr w:rsidR="000A73BC" w14:paraId="52BFCB0B" w14:textId="77777777">
        <w:trPr>
          <w:trHeight w:val="618"/>
        </w:trPr>
        <w:tc>
          <w:tcPr>
            <w:tcW w:w="881" w:type="dxa"/>
          </w:tcPr>
          <w:p w14:paraId="52BFCB08" w14:textId="77777777" w:rsidR="006D724E" w:rsidRDefault="009F37FD">
            <w:pPr>
              <w:pStyle w:val="TableParagraph"/>
              <w:spacing w:before="113"/>
            </w:pPr>
            <w:r>
              <w:t>11.8</w:t>
            </w:r>
          </w:p>
        </w:tc>
        <w:tc>
          <w:tcPr>
            <w:tcW w:w="7350" w:type="dxa"/>
          </w:tcPr>
          <w:p w14:paraId="52BFCB09" w14:textId="77777777" w:rsidR="006D724E" w:rsidRDefault="009F37FD">
            <w:pPr>
              <w:pStyle w:val="TableParagraph"/>
              <w:spacing w:before="113"/>
              <w:ind w:left="108"/>
            </w:pPr>
            <w:r>
              <w:t>Interest on Late Payments</w:t>
            </w:r>
          </w:p>
        </w:tc>
        <w:tc>
          <w:tcPr>
            <w:tcW w:w="1276" w:type="dxa"/>
          </w:tcPr>
          <w:p w14:paraId="52BFCB0A" w14:textId="60892F85" w:rsidR="006D724E" w:rsidRDefault="00081C8B">
            <w:pPr>
              <w:pStyle w:val="TableParagraph"/>
              <w:spacing w:before="113"/>
              <w:ind w:left="113" w:right="106"/>
              <w:jc w:val="center"/>
              <w:rPr>
                <w:sz w:val="20"/>
              </w:rPr>
            </w:pPr>
            <w:r>
              <w:rPr>
                <w:sz w:val="20"/>
              </w:rPr>
              <w:t>35</w:t>
            </w:r>
          </w:p>
        </w:tc>
      </w:tr>
      <w:tr w:rsidR="000A73BC" w14:paraId="52BFCB0F" w14:textId="77777777">
        <w:trPr>
          <w:trHeight w:val="618"/>
        </w:trPr>
        <w:tc>
          <w:tcPr>
            <w:tcW w:w="881" w:type="dxa"/>
          </w:tcPr>
          <w:p w14:paraId="52BFCB0C" w14:textId="77777777" w:rsidR="006D724E" w:rsidRDefault="009F37FD">
            <w:pPr>
              <w:pStyle w:val="TableParagraph"/>
              <w:spacing w:before="113"/>
            </w:pPr>
            <w:r>
              <w:t>11.9</w:t>
            </w:r>
          </w:p>
        </w:tc>
        <w:tc>
          <w:tcPr>
            <w:tcW w:w="7350" w:type="dxa"/>
          </w:tcPr>
          <w:p w14:paraId="52BFCB0D" w14:textId="77777777" w:rsidR="006D724E" w:rsidRDefault="009F37FD">
            <w:pPr>
              <w:pStyle w:val="TableParagraph"/>
              <w:spacing w:before="113"/>
              <w:ind w:left="108"/>
            </w:pPr>
            <w:r>
              <w:t>Whistleblowing</w:t>
            </w:r>
          </w:p>
        </w:tc>
        <w:tc>
          <w:tcPr>
            <w:tcW w:w="1276" w:type="dxa"/>
          </w:tcPr>
          <w:p w14:paraId="52BFCB0E" w14:textId="22B78A26" w:rsidR="006D724E" w:rsidRDefault="00081C8B">
            <w:pPr>
              <w:pStyle w:val="TableParagraph"/>
              <w:spacing w:before="113"/>
              <w:ind w:left="113" w:right="106"/>
              <w:jc w:val="center"/>
              <w:rPr>
                <w:sz w:val="20"/>
              </w:rPr>
            </w:pPr>
            <w:r>
              <w:rPr>
                <w:sz w:val="20"/>
              </w:rPr>
              <w:t>35</w:t>
            </w:r>
          </w:p>
        </w:tc>
      </w:tr>
      <w:tr w:rsidR="000A73BC" w14:paraId="52BFCB13" w14:textId="77777777">
        <w:trPr>
          <w:trHeight w:val="621"/>
        </w:trPr>
        <w:tc>
          <w:tcPr>
            <w:tcW w:w="881" w:type="dxa"/>
          </w:tcPr>
          <w:p w14:paraId="52BFCB10" w14:textId="77777777" w:rsidR="006D724E" w:rsidRDefault="009F37FD">
            <w:pPr>
              <w:pStyle w:val="TableParagraph"/>
              <w:spacing w:before="114"/>
            </w:pPr>
            <w:r>
              <w:t>11.10</w:t>
            </w:r>
          </w:p>
        </w:tc>
        <w:tc>
          <w:tcPr>
            <w:tcW w:w="7350" w:type="dxa"/>
          </w:tcPr>
          <w:p w14:paraId="52BFCB11" w14:textId="77777777" w:rsidR="006D724E" w:rsidRDefault="009F37FD">
            <w:pPr>
              <w:pStyle w:val="TableParagraph"/>
              <w:spacing w:before="114"/>
              <w:ind w:left="108"/>
            </w:pPr>
            <w:r>
              <w:t>Child Protection</w:t>
            </w:r>
          </w:p>
        </w:tc>
        <w:tc>
          <w:tcPr>
            <w:tcW w:w="1276" w:type="dxa"/>
          </w:tcPr>
          <w:p w14:paraId="52BFCB12" w14:textId="67178BED" w:rsidR="006D724E" w:rsidRDefault="00540F3B">
            <w:pPr>
              <w:pStyle w:val="TableParagraph"/>
              <w:spacing w:before="113"/>
              <w:ind w:left="113" w:right="106"/>
              <w:jc w:val="center"/>
              <w:rPr>
                <w:sz w:val="20"/>
              </w:rPr>
            </w:pPr>
            <w:r>
              <w:rPr>
                <w:sz w:val="20"/>
              </w:rPr>
              <w:t>3</w:t>
            </w:r>
            <w:r w:rsidR="00081C8B">
              <w:rPr>
                <w:sz w:val="20"/>
              </w:rPr>
              <w:t>5</w:t>
            </w:r>
          </w:p>
        </w:tc>
      </w:tr>
      <w:tr w:rsidR="000A73BC" w14:paraId="52BFCB17" w14:textId="77777777">
        <w:trPr>
          <w:trHeight w:val="621"/>
        </w:trPr>
        <w:tc>
          <w:tcPr>
            <w:tcW w:w="881" w:type="dxa"/>
          </w:tcPr>
          <w:p w14:paraId="52BFCB14" w14:textId="77777777" w:rsidR="006D724E" w:rsidRDefault="009F37FD" w:rsidP="006D724E">
            <w:pPr>
              <w:pStyle w:val="TableParagraph"/>
              <w:spacing w:before="113"/>
              <w:rPr>
                <w:b/>
              </w:rPr>
            </w:pPr>
            <w:r>
              <w:t>11.11</w:t>
            </w:r>
          </w:p>
        </w:tc>
        <w:tc>
          <w:tcPr>
            <w:tcW w:w="7350" w:type="dxa"/>
          </w:tcPr>
          <w:p w14:paraId="52BFCB15" w14:textId="6DB639D2" w:rsidR="006D724E" w:rsidRDefault="009F37FD">
            <w:pPr>
              <w:pStyle w:val="TableParagraph"/>
              <w:spacing w:before="113"/>
              <w:ind w:left="108"/>
              <w:rPr>
                <w:b/>
              </w:rPr>
            </w:pPr>
            <w:r>
              <w:t>Redundancy</w:t>
            </w:r>
            <w:r w:rsidR="00540F3B">
              <w:t xml:space="preserve"> </w:t>
            </w:r>
            <w:r>
              <w:t>/ Early Retirement Costs</w:t>
            </w:r>
          </w:p>
        </w:tc>
        <w:tc>
          <w:tcPr>
            <w:tcW w:w="1276" w:type="dxa"/>
          </w:tcPr>
          <w:p w14:paraId="52BFCB16" w14:textId="1E700F9C" w:rsidR="006D724E" w:rsidRDefault="00540F3B" w:rsidP="00081C8B">
            <w:pPr>
              <w:pStyle w:val="TableParagraph"/>
              <w:spacing w:before="113"/>
              <w:ind w:left="112" w:right="106"/>
              <w:jc w:val="center"/>
              <w:rPr>
                <w:b/>
                <w:sz w:val="20"/>
              </w:rPr>
            </w:pPr>
            <w:r>
              <w:rPr>
                <w:sz w:val="20"/>
              </w:rPr>
              <w:t>3</w:t>
            </w:r>
            <w:r w:rsidR="00081C8B">
              <w:rPr>
                <w:sz w:val="20"/>
              </w:rPr>
              <w:t>5</w:t>
            </w:r>
          </w:p>
        </w:tc>
      </w:tr>
      <w:tr w:rsidR="000A73BC" w14:paraId="52BFCB1B" w14:textId="77777777">
        <w:trPr>
          <w:trHeight w:val="621"/>
        </w:trPr>
        <w:tc>
          <w:tcPr>
            <w:tcW w:w="881" w:type="dxa"/>
          </w:tcPr>
          <w:p w14:paraId="52BFCB18" w14:textId="77777777" w:rsidR="006D724E" w:rsidRDefault="009F37FD">
            <w:pPr>
              <w:pStyle w:val="TableParagraph"/>
              <w:spacing w:before="113"/>
              <w:rPr>
                <w:b/>
              </w:rPr>
            </w:pPr>
            <w:r>
              <w:rPr>
                <w:b/>
              </w:rPr>
              <w:t>12.</w:t>
            </w:r>
          </w:p>
        </w:tc>
        <w:tc>
          <w:tcPr>
            <w:tcW w:w="7350" w:type="dxa"/>
          </w:tcPr>
          <w:p w14:paraId="52BFCB19" w14:textId="77777777" w:rsidR="006D724E" w:rsidRDefault="009F37FD">
            <w:pPr>
              <w:pStyle w:val="TableParagraph"/>
              <w:spacing w:before="113"/>
              <w:ind w:left="108"/>
              <w:rPr>
                <w:b/>
              </w:rPr>
            </w:pPr>
            <w:r>
              <w:rPr>
                <w:b/>
              </w:rPr>
              <w:t>Responsibility for Repairs and Maintenance</w:t>
            </w:r>
          </w:p>
        </w:tc>
        <w:tc>
          <w:tcPr>
            <w:tcW w:w="1276" w:type="dxa"/>
          </w:tcPr>
          <w:p w14:paraId="52BFCB1A" w14:textId="054BCEF7" w:rsidR="006D724E" w:rsidRDefault="00081C8B">
            <w:pPr>
              <w:pStyle w:val="TableParagraph"/>
              <w:spacing w:before="113"/>
              <w:ind w:left="112" w:right="106"/>
              <w:jc w:val="center"/>
              <w:rPr>
                <w:b/>
                <w:sz w:val="20"/>
              </w:rPr>
            </w:pPr>
            <w:r>
              <w:rPr>
                <w:b/>
                <w:sz w:val="20"/>
              </w:rPr>
              <w:t>36</w:t>
            </w:r>
          </w:p>
        </w:tc>
      </w:tr>
      <w:tr w:rsidR="000A73BC" w14:paraId="52BFCB1F" w14:textId="77777777">
        <w:trPr>
          <w:trHeight w:val="619"/>
        </w:trPr>
        <w:tc>
          <w:tcPr>
            <w:tcW w:w="881" w:type="dxa"/>
          </w:tcPr>
          <w:p w14:paraId="52BFCB1C" w14:textId="77777777" w:rsidR="006D724E" w:rsidRDefault="009F37FD">
            <w:pPr>
              <w:pStyle w:val="TableParagraph"/>
              <w:spacing w:before="111"/>
              <w:rPr>
                <w:b/>
              </w:rPr>
            </w:pPr>
            <w:r>
              <w:rPr>
                <w:b/>
              </w:rPr>
              <w:t>13.</w:t>
            </w:r>
          </w:p>
        </w:tc>
        <w:tc>
          <w:tcPr>
            <w:tcW w:w="7350" w:type="dxa"/>
          </w:tcPr>
          <w:p w14:paraId="52BFCB1D" w14:textId="77777777" w:rsidR="006D724E" w:rsidRDefault="009F37FD">
            <w:pPr>
              <w:pStyle w:val="TableParagraph"/>
              <w:spacing w:before="111"/>
              <w:ind w:left="108"/>
              <w:rPr>
                <w:b/>
              </w:rPr>
            </w:pPr>
            <w:r>
              <w:rPr>
                <w:b/>
              </w:rPr>
              <w:t>Community Facilities</w:t>
            </w:r>
          </w:p>
        </w:tc>
        <w:tc>
          <w:tcPr>
            <w:tcW w:w="1276" w:type="dxa"/>
          </w:tcPr>
          <w:p w14:paraId="52BFCB1E" w14:textId="31A93C3E" w:rsidR="006D724E" w:rsidRDefault="00540F3B">
            <w:pPr>
              <w:pStyle w:val="TableParagraph"/>
              <w:spacing w:before="111"/>
              <w:ind w:left="113" w:right="106"/>
              <w:jc w:val="center"/>
              <w:rPr>
                <w:b/>
                <w:sz w:val="20"/>
              </w:rPr>
            </w:pPr>
            <w:r>
              <w:rPr>
                <w:b/>
                <w:sz w:val="20"/>
              </w:rPr>
              <w:t>3</w:t>
            </w:r>
            <w:r w:rsidR="00081C8B">
              <w:rPr>
                <w:b/>
                <w:sz w:val="20"/>
              </w:rPr>
              <w:t>7</w:t>
            </w:r>
          </w:p>
        </w:tc>
      </w:tr>
      <w:tr w:rsidR="000A73BC" w14:paraId="52BFCB23" w14:textId="77777777">
        <w:trPr>
          <w:trHeight w:val="618"/>
        </w:trPr>
        <w:tc>
          <w:tcPr>
            <w:tcW w:w="881" w:type="dxa"/>
          </w:tcPr>
          <w:p w14:paraId="52BFCB20" w14:textId="77777777" w:rsidR="006D724E" w:rsidRDefault="006D724E">
            <w:pPr>
              <w:pStyle w:val="TableParagraph"/>
              <w:ind w:left="0"/>
              <w:rPr>
                <w:rFonts w:ascii="Times New Roman"/>
                <w:sz w:val="20"/>
              </w:rPr>
            </w:pPr>
          </w:p>
        </w:tc>
        <w:tc>
          <w:tcPr>
            <w:tcW w:w="7350" w:type="dxa"/>
          </w:tcPr>
          <w:p w14:paraId="52BFCB21" w14:textId="77777777" w:rsidR="006D724E" w:rsidRDefault="006D724E">
            <w:pPr>
              <w:pStyle w:val="TableParagraph"/>
              <w:ind w:left="0"/>
              <w:rPr>
                <w:rFonts w:ascii="Times New Roman"/>
                <w:sz w:val="20"/>
              </w:rPr>
            </w:pPr>
          </w:p>
        </w:tc>
        <w:tc>
          <w:tcPr>
            <w:tcW w:w="1276" w:type="dxa"/>
          </w:tcPr>
          <w:p w14:paraId="52BFCB22" w14:textId="77777777" w:rsidR="006D724E" w:rsidRDefault="006D724E">
            <w:pPr>
              <w:pStyle w:val="TableParagraph"/>
              <w:ind w:left="0"/>
              <w:rPr>
                <w:rFonts w:ascii="Times New Roman"/>
                <w:sz w:val="20"/>
              </w:rPr>
            </w:pPr>
          </w:p>
        </w:tc>
      </w:tr>
      <w:tr w:rsidR="000A73BC" w14:paraId="52BFCB27" w14:textId="77777777">
        <w:trPr>
          <w:trHeight w:val="618"/>
        </w:trPr>
        <w:tc>
          <w:tcPr>
            <w:tcW w:w="881" w:type="dxa"/>
          </w:tcPr>
          <w:p w14:paraId="52BFCB24" w14:textId="77777777" w:rsidR="006D724E" w:rsidRDefault="006D724E">
            <w:pPr>
              <w:pStyle w:val="TableParagraph"/>
              <w:ind w:left="0"/>
              <w:rPr>
                <w:rFonts w:ascii="Times New Roman"/>
                <w:sz w:val="20"/>
              </w:rPr>
            </w:pPr>
          </w:p>
        </w:tc>
        <w:tc>
          <w:tcPr>
            <w:tcW w:w="7350" w:type="dxa"/>
          </w:tcPr>
          <w:p w14:paraId="52BFCB25" w14:textId="32FCF9D6" w:rsidR="006D724E" w:rsidRDefault="00451479">
            <w:pPr>
              <w:pStyle w:val="TableParagraph"/>
              <w:spacing w:before="111"/>
              <w:ind w:left="108"/>
              <w:rPr>
                <w:b/>
              </w:rPr>
            </w:pPr>
            <w:r>
              <w:rPr>
                <w:b/>
              </w:rPr>
              <w:t>Appendices: -</w:t>
            </w:r>
          </w:p>
        </w:tc>
        <w:tc>
          <w:tcPr>
            <w:tcW w:w="1276" w:type="dxa"/>
          </w:tcPr>
          <w:p w14:paraId="52BFCB26" w14:textId="77777777" w:rsidR="006D724E" w:rsidRDefault="006D724E">
            <w:pPr>
              <w:pStyle w:val="TableParagraph"/>
              <w:ind w:left="0"/>
              <w:rPr>
                <w:rFonts w:ascii="Times New Roman"/>
                <w:sz w:val="20"/>
              </w:rPr>
            </w:pPr>
          </w:p>
        </w:tc>
      </w:tr>
      <w:tr w:rsidR="000A73BC" w14:paraId="52BFCB2B" w14:textId="77777777">
        <w:trPr>
          <w:trHeight w:val="621"/>
        </w:trPr>
        <w:tc>
          <w:tcPr>
            <w:tcW w:w="881" w:type="dxa"/>
          </w:tcPr>
          <w:p w14:paraId="52BFCB28" w14:textId="77777777" w:rsidR="006D724E" w:rsidRDefault="009F37FD">
            <w:pPr>
              <w:pStyle w:val="TableParagraph"/>
              <w:spacing w:before="116"/>
            </w:pPr>
            <w:r>
              <w:t>1.</w:t>
            </w:r>
          </w:p>
        </w:tc>
        <w:tc>
          <w:tcPr>
            <w:tcW w:w="7350" w:type="dxa"/>
          </w:tcPr>
          <w:p w14:paraId="52BFCB29" w14:textId="77777777" w:rsidR="006D724E" w:rsidRDefault="009F37FD">
            <w:pPr>
              <w:pStyle w:val="TableParagraph"/>
              <w:spacing w:before="116"/>
              <w:ind w:left="108"/>
            </w:pPr>
            <w:r w:rsidRPr="00750641">
              <w:t>Schools Covered by the Scheme</w:t>
            </w:r>
          </w:p>
        </w:tc>
        <w:tc>
          <w:tcPr>
            <w:tcW w:w="1276" w:type="dxa"/>
          </w:tcPr>
          <w:p w14:paraId="52BFCB2A" w14:textId="6CC42750" w:rsidR="006D724E" w:rsidRDefault="00540F3B">
            <w:pPr>
              <w:pStyle w:val="TableParagraph"/>
              <w:spacing w:before="113"/>
              <w:ind w:left="113" w:right="106"/>
              <w:jc w:val="center"/>
              <w:rPr>
                <w:b/>
                <w:sz w:val="20"/>
              </w:rPr>
            </w:pPr>
            <w:r>
              <w:rPr>
                <w:b/>
                <w:sz w:val="20"/>
              </w:rPr>
              <w:t>4</w:t>
            </w:r>
            <w:r w:rsidR="00081C8B">
              <w:rPr>
                <w:b/>
                <w:sz w:val="20"/>
              </w:rPr>
              <w:t>0</w:t>
            </w:r>
          </w:p>
        </w:tc>
      </w:tr>
      <w:tr w:rsidR="000A73BC" w14:paraId="52BFCB2F" w14:textId="77777777">
        <w:trPr>
          <w:trHeight w:val="618"/>
        </w:trPr>
        <w:tc>
          <w:tcPr>
            <w:tcW w:w="881" w:type="dxa"/>
          </w:tcPr>
          <w:p w14:paraId="52BFCB2C" w14:textId="77777777" w:rsidR="006D724E" w:rsidRDefault="009F37FD">
            <w:pPr>
              <w:pStyle w:val="TableParagraph"/>
              <w:spacing w:before="113"/>
            </w:pPr>
            <w:r>
              <w:t>2.</w:t>
            </w:r>
          </w:p>
        </w:tc>
        <w:tc>
          <w:tcPr>
            <w:tcW w:w="7350" w:type="dxa"/>
          </w:tcPr>
          <w:p w14:paraId="52BFCB2D" w14:textId="77777777" w:rsidR="006D724E" w:rsidRDefault="009F37FD">
            <w:pPr>
              <w:pStyle w:val="TableParagraph"/>
              <w:spacing w:before="113"/>
              <w:ind w:left="108"/>
            </w:pPr>
            <w:r>
              <w:t>Procurement Levels</w:t>
            </w:r>
          </w:p>
        </w:tc>
        <w:tc>
          <w:tcPr>
            <w:tcW w:w="1276" w:type="dxa"/>
          </w:tcPr>
          <w:p w14:paraId="52BFCB2E" w14:textId="7398A325" w:rsidR="006D724E" w:rsidRDefault="00540F3B">
            <w:pPr>
              <w:pStyle w:val="TableParagraph"/>
              <w:spacing w:before="110"/>
              <w:ind w:left="113" w:right="106"/>
              <w:jc w:val="center"/>
              <w:rPr>
                <w:b/>
                <w:sz w:val="20"/>
              </w:rPr>
            </w:pPr>
            <w:r>
              <w:rPr>
                <w:b/>
                <w:sz w:val="20"/>
              </w:rPr>
              <w:t>4</w:t>
            </w:r>
            <w:r w:rsidR="00081C8B">
              <w:rPr>
                <w:b/>
                <w:sz w:val="20"/>
              </w:rPr>
              <w:t>2</w:t>
            </w:r>
          </w:p>
        </w:tc>
      </w:tr>
      <w:tr w:rsidR="000A73BC" w14:paraId="52BFCB33" w14:textId="77777777">
        <w:trPr>
          <w:trHeight w:val="998"/>
        </w:trPr>
        <w:tc>
          <w:tcPr>
            <w:tcW w:w="881" w:type="dxa"/>
          </w:tcPr>
          <w:p w14:paraId="52BFCB30" w14:textId="77777777" w:rsidR="006D724E" w:rsidRDefault="009F37FD">
            <w:pPr>
              <w:pStyle w:val="TableParagraph"/>
              <w:spacing w:before="114"/>
            </w:pPr>
            <w:r>
              <w:t>3.</w:t>
            </w:r>
          </w:p>
        </w:tc>
        <w:tc>
          <w:tcPr>
            <w:tcW w:w="7350" w:type="dxa"/>
          </w:tcPr>
          <w:p w14:paraId="52BFCB31" w14:textId="77777777" w:rsidR="006D724E" w:rsidRDefault="009F37FD">
            <w:pPr>
              <w:pStyle w:val="TableParagraph"/>
              <w:spacing w:before="114" w:line="360" w:lineRule="auto"/>
              <w:ind w:left="108" w:right="142"/>
            </w:pPr>
            <w:r>
              <w:t>Policy for the Responsibility of Redundancy and Early Retirement Costs in Schools</w:t>
            </w:r>
          </w:p>
        </w:tc>
        <w:tc>
          <w:tcPr>
            <w:tcW w:w="1276" w:type="dxa"/>
          </w:tcPr>
          <w:p w14:paraId="52BFCB32" w14:textId="428A9C10" w:rsidR="006D724E" w:rsidRDefault="009F37FD" w:rsidP="00081C8B">
            <w:pPr>
              <w:pStyle w:val="TableParagraph"/>
              <w:spacing w:before="111"/>
              <w:ind w:left="113" w:right="106"/>
              <w:jc w:val="center"/>
              <w:rPr>
                <w:b/>
                <w:sz w:val="20"/>
              </w:rPr>
            </w:pPr>
            <w:r>
              <w:rPr>
                <w:b/>
                <w:sz w:val="20"/>
              </w:rPr>
              <w:t>4</w:t>
            </w:r>
            <w:r w:rsidR="00081C8B">
              <w:rPr>
                <w:b/>
                <w:sz w:val="20"/>
              </w:rPr>
              <w:t>4</w:t>
            </w:r>
          </w:p>
        </w:tc>
      </w:tr>
      <w:tr w:rsidR="000A73BC" w14:paraId="52BFCB37" w14:textId="77777777">
        <w:trPr>
          <w:trHeight w:val="621"/>
        </w:trPr>
        <w:tc>
          <w:tcPr>
            <w:tcW w:w="881" w:type="dxa"/>
          </w:tcPr>
          <w:p w14:paraId="52BFCB34" w14:textId="77777777" w:rsidR="006D724E" w:rsidRDefault="009F37FD">
            <w:pPr>
              <w:pStyle w:val="TableParagraph"/>
              <w:spacing w:before="116"/>
            </w:pPr>
            <w:r>
              <w:t>4.</w:t>
            </w:r>
          </w:p>
        </w:tc>
        <w:tc>
          <w:tcPr>
            <w:tcW w:w="7350" w:type="dxa"/>
          </w:tcPr>
          <w:p w14:paraId="52BFCB35" w14:textId="1EBAC6D2" w:rsidR="006D724E" w:rsidRDefault="009F37FD" w:rsidP="00540F3B">
            <w:pPr>
              <w:pStyle w:val="TableParagraph"/>
              <w:spacing w:before="116"/>
              <w:ind w:left="108"/>
            </w:pPr>
            <w:r>
              <w:t xml:space="preserve">Capital </w:t>
            </w:r>
            <w:r w:rsidR="00540F3B">
              <w:t>/</w:t>
            </w:r>
            <w:r>
              <w:t xml:space="preserve"> Revenue Split</w:t>
            </w:r>
          </w:p>
        </w:tc>
        <w:tc>
          <w:tcPr>
            <w:tcW w:w="1276" w:type="dxa"/>
          </w:tcPr>
          <w:p w14:paraId="52BFCB36" w14:textId="4D82537C" w:rsidR="006D724E" w:rsidRDefault="00081C8B">
            <w:pPr>
              <w:pStyle w:val="TableParagraph"/>
              <w:spacing w:before="113"/>
              <w:ind w:left="113" w:right="106"/>
              <w:jc w:val="center"/>
              <w:rPr>
                <w:b/>
                <w:sz w:val="20"/>
              </w:rPr>
            </w:pPr>
            <w:r>
              <w:rPr>
                <w:b/>
                <w:sz w:val="20"/>
              </w:rPr>
              <w:t>46</w:t>
            </w:r>
          </w:p>
        </w:tc>
      </w:tr>
      <w:tr w:rsidR="000A73BC" w14:paraId="52BFCB3B" w14:textId="77777777">
        <w:trPr>
          <w:trHeight w:val="621"/>
        </w:trPr>
        <w:tc>
          <w:tcPr>
            <w:tcW w:w="881" w:type="dxa"/>
          </w:tcPr>
          <w:p w14:paraId="52BFCB38" w14:textId="77777777" w:rsidR="006D724E" w:rsidRDefault="009F37FD">
            <w:pPr>
              <w:pStyle w:val="TableParagraph"/>
              <w:spacing w:before="116"/>
            </w:pPr>
            <w:r>
              <w:t>5</w:t>
            </w:r>
          </w:p>
        </w:tc>
        <w:tc>
          <w:tcPr>
            <w:tcW w:w="7350" w:type="dxa"/>
          </w:tcPr>
          <w:p w14:paraId="52BFCB39" w14:textId="3440C4DC" w:rsidR="006D724E" w:rsidRDefault="009F37FD" w:rsidP="00540F3B">
            <w:pPr>
              <w:pStyle w:val="TableParagraph"/>
              <w:spacing w:before="116" w:after="240"/>
              <w:ind w:left="108"/>
            </w:pPr>
            <w:r>
              <w:t xml:space="preserve">Application of </w:t>
            </w:r>
            <w:r w:rsidR="00451479">
              <w:t>Schemes for</w:t>
            </w:r>
            <w:r>
              <w:t xml:space="preserve"> Financing Schools to the Community Facilities Powers</w:t>
            </w:r>
          </w:p>
        </w:tc>
        <w:tc>
          <w:tcPr>
            <w:tcW w:w="1276" w:type="dxa"/>
          </w:tcPr>
          <w:p w14:paraId="52BFCB3A" w14:textId="2084EBC2" w:rsidR="006D724E" w:rsidRDefault="00540F3B">
            <w:pPr>
              <w:pStyle w:val="TableParagraph"/>
              <w:spacing w:before="113"/>
              <w:ind w:left="113" w:right="106"/>
              <w:jc w:val="center"/>
              <w:rPr>
                <w:b/>
                <w:sz w:val="20"/>
              </w:rPr>
            </w:pPr>
            <w:r>
              <w:rPr>
                <w:b/>
                <w:sz w:val="20"/>
              </w:rPr>
              <w:t>5</w:t>
            </w:r>
            <w:r w:rsidR="00081C8B">
              <w:rPr>
                <w:b/>
                <w:sz w:val="20"/>
              </w:rPr>
              <w:t>4</w:t>
            </w:r>
          </w:p>
        </w:tc>
      </w:tr>
    </w:tbl>
    <w:p w14:paraId="52BFCB3C" w14:textId="77777777" w:rsidR="006D724E" w:rsidRDefault="006D724E">
      <w:pPr>
        <w:spacing w:line="270" w:lineRule="exact"/>
        <w:jc w:val="center"/>
        <w:rPr>
          <w:sz w:val="24"/>
        </w:rPr>
        <w:sectPr w:rsidR="006D724E">
          <w:pgSz w:w="11910" w:h="16840"/>
          <w:pgMar w:top="840" w:right="140" w:bottom="280" w:left="220" w:header="720" w:footer="720" w:gutter="0"/>
          <w:cols w:space="720"/>
        </w:sectPr>
      </w:pPr>
    </w:p>
    <w:p w14:paraId="52BFCB3D" w14:textId="77777777" w:rsidR="006D724E" w:rsidRDefault="009F37FD">
      <w:pPr>
        <w:pStyle w:val="BodyText"/>
        <w:ind w:left="888"/>
        <w:rPr>
          <w:sz w:val="20"/>
        </w:rPr>
      </w:pPr>
      <w:r>
        <w:rPr>
          <w:noProof/>
          <w:sz w:val="20"/>
          <w:lang w:bidi="ar-SA"/>
        </w:rPr>
        <w:lastRenderedPageBreak/>
        <mc:AlternateContent>
          <mc:Choice Requires="wps">
            <w:drawing>
              <wp:inline distT="0" distB="0" distL="0" distR="0" wp14:anchorId="52BFD15A" wp14:editId="52BFD15B">
                <wp:extent cx="6155690" cy="289560"/>
                <wp:effectExtent l="0" t="0" r="0" b="0"/>
                <wp:docPr id="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FD166" w14:textId="4425C4EA" w:rsidR="009C672B" w:rsidRPr="00540994" w:rsidRDefault="009C672B" w:rsidP="00540994">
                            <w:pPr>
                              <w:pStyle w:val="ListParagraph"/>
                              <w:numPr>
                                <w:ilvl w:val="0"/>
                                <w:numId w:val="23"/>
                              </w:numPr>
                              <w:spacing w:line="407" w:lineRule="exact"/>
                              <w:ind w:left="709" w:hanging="709"/>
                              <w:rPr>
                                <w:b/>
                                <w:sz w:val="36"/>
                              </w:rPr>
                            </w:pPr>
                            <w:r w:rsidRPr="00540994">
                              <w:rPr>
                                <w:b/>
                                <w:sz w:val="36"/>
                              </w:rPr>
                              <w:t>Introduction</w:t>
                            </w:r>
                          </w:p>
                        </w:txbxContent>
                      </wps:txbx>
                      <wps:bodyPr rot="0" vert="horz" wrap="square" lIns="0" tIns="0" rIns="0" bIns="0" anchor="t" anchorCtr="0" upright="1"/>
                    </wps:wsp>
                  </a:graphicData>
                </a:graphic>
              </wp:inline>
            </w:drawing>
          </mc:Choice>
          <mc:Fallback>
            <w:pict>
              <v:shapetype w14:anchorId="52BFD15A" id="_x0000_t202" coordsize="21600,21600" o:spt="202" path="m,l,21600r21600,l21600,xe">
                <v:stroke joinstyle="miter"/>
                <v:path gradientshapeok="t" o:connecttype="rect"/>
              </v:shapetype>
              <v:shape id="Text Box 25" o:spid="_x0000_s1026" type="#_x0000_t202" style="width:484.7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" stroked="f">
                <v:textbox inset="0,0,0,0">
                  <w:txbxContent>
                    <w:p w14:paraId="52BFD166" w14:textId="4425C4EA" w:rsidR="009C672B" w:rsidRPr="00540994" w:rsidRDefault="009C672B" w:rsidP="00540994">
                      <w:pPr>
                        <w:pStyle w:val="ListParagraph"/>
                        <w:numPr>
                          <w:ilvl w:val="0"/>
                          <w:numId w:val="23"/>
                        </w:numPr>
                        <w:spacing w:line="407" w:lineRule="exact"/>
                        <w:ind w:left="709" w:hanging="709"/>
                        <w:rPr>
                          <w:b/>
                          <w:sz w:val="36"/>
                        </w:rPr>
                      </w:pPr>
                      <w:r w:rsidRPr="00540994">
                        <w:rPr>
                          <w:b/>
                          <w:sz w:val="36"/>
                        </w:rPr>
                        <w:t>Introduction</w:t>
                      </w:r>
                    </w:p>
                  </w:txbxContent>
                </v:textbox>
                <w10:anchorlock/>
              </v:shape>
            </w:pict>
          </mc:Fallback>
        </mc:AlternateContent>
      </w:r>
    </w:p>
    <w:p w14:paraId="52BFCB3E" w14:textId="77777777" w:rsidR="006D724E" w:rsidRDefault="006D724E">
      <w:pPr>
        <w:pStyle w:val="BodyText"/>
        <w:spacing w:before="6"/>
        <w:rPr>
          <w:sz w:val="6"/>
        </w:rPr>
      </w:pPr>
    </w:p>
    <w:p w14:paraId="52BFCB3F" w14:textId="77777777" w:rsidR="006D724E" w:rsidRDefault="009F37FD" w:rsidP="008B40F5">
      <w:pPr>
        <w:pStyle w:val="ListParagraph"/>
        <w:numPr>
          <w:ilvl w:val="1"/>
          <w:numId w:val="13"/>
        </w:numPr>
        <w:tabs>
          <w:tab w:val="left" w:pos="1637"/>
          <w:tab w:val="left" w:pos="1639"/>
        </w:tabs>
        <w:spacing w:before="92"/>
        <w:jc w:val="both"/>
        <w:rPr>
          <w:b/>
          <w:sz w:val="28"/>
        </w:rPr>
      </w:pPr>
      <w:r>
        <w:rPr>
          <w:b/>
          <w:sz w:val="28"/>
        </w:rPr>
        <w:t>The Schools Standard and Framework Act</w:t>
      </w:r>
    </w:p>
    <w:p w14:paraId="52BFCB40" w14:textId="32B92A68" w:rsidR="006D724E" w:rsidRPr="00DF4746" w:rsidRDefault="009F37FD" w:rsidP="00331147">
      <w:pPr>
        <w:pStyle w:val="BodyText"/>
        <w:ind w:left="919" w:right="1208"/>
        <w:jc w:val="both"/>
      </w:pPr>
      <w:r w:rsidRPr="00DF4746">
        <w:t>Under</w:t>
      </w:r>
      <w:r w:rsidR="00331147">
        <w:t xml:space="preserve"> the</w:t>
      </w:r>
      <w:r w:rsidRPr="00DF4746">
        <w:t xml:space="preserve"> </w:t>
      </w:r>
      <w:r w:rsidR="00331147">
        <w:t>S</w:t>
      </w:r>
      <w:r>
        <w:t xml:space="preserve">chools </w:t>
      </w:r>
      <w:r w:rsidR="00331147">
        <w:t>Standards and Framework Ac</w:t>
      </w:r>
      <w:r>
        <w:t xml:space="preserve">t 1998 </w:t>
      </w:r>
      <w:r w:rsidRPr="008C7A67">
        <w:t>s</w:t>
      </w:r>
      <w:r>
        <w:t xml:space="preserve">ection </w:t>
      </w:r>
      <w:r w:rsidRPr="008C7A67">
        <w:t>48</w:t>
      </w:r>
      <w:r>
        <w:t xml:space="preserve"> </w:t>
      </w:r>
      <w:r w:rsidRPr="008C7A67">
        <w:t>(4) and paragraph 2A</w:t>
      </w:r>
      <w:r w:rsidR="00331147">
        <w:t xml:space="preserve"> </w:t>
      </w:r>
      <w:r w:rsidRPr="008C7A67">
        <w:t xml:space="preserve">(2) of Schedule 14 </w:t>
      </w:r>
      <w:r w:rsidRPr="00DF4746">
        <w:t xml:space="preserve">each Local Authority is required to produce a scheme for financing schools. </w:t>
      </w:r>
    </w:p>
    <w:p w14:paraId="52BFCB41" w14:textId="77777777" w:rsidR="006D724E" w:rsidRPr="00DF4746" w:rsidRDefault="006D724E" w:rsidP="008B40F5">
      <w:pPr>
        <w:pStyle w:val="BodyText"/>
        <w:spacing w:before="2"/>
        <w:jc w:val="both"/>
      </w:pPr>
    </w:p>
    <w:p w14:paraId="52BFCB42" w14:textId="77777777" w:rsidR="006D724E" w:rsidRPr="00DF4746" w:rsidRDefault="009F37FD" w:rsidP="008B40F5">
      <w:pPr>
        <w:pStyle w:val="BodyText"/>
        <w:ind w:left="917"/>
        <w:jc w:val="both"/>
      </w:pPr>
      <w:r w:rsidRPr="00DF4746">
        <w:t>The scheme sets out the rules, guidelines and conditions relating to:</w:t>
      </w:r>
    </w:p>
    <w:p w14:paraId="52BFCB43" w14:textId="77777777" w:rsidR="006D724E" w:rsidRPr="00DF4746" w:rsidRDefault="006D724E" w:rsidP="008B40F5">
      <w:pPr>
        <w:pStyle w:val="BodyText"/>
        <w:spacing w:before="7"/>
        <w:jc w:val="both"/>
      </w:pPr>
    </w:p>
    <w:p w14:paraId="52BFCB44" w14:textId="77777777" w:rsidR="006D724E" w:rsidRPr="00DF4746" w:rsidRDefault="009F37FD" w:rsidP="008B40F5">
      <w:pPr>
        <w:pStyle w:val="ListParagraph"/>
        <w:numPr>
          <w:ilvl w:val="0"/>
          <w:numId w:val="12"/>
        </w:numPr>
        <w:tabs>
          <w:tab w:val="left" w:pos="1637"/>
          <w:tab w:val="left" w:pos="1639"/>
        </w:tabs>
        <w:jc w:val="both"/>
      </w:pPr>
      <w:r w:rsidRPr="00DF4746">
        <w:t>Financial</w:t>
      </w:r>
      <w:r w:rsidRPr="00DF4746">
        <w:rPr>
          <w:spacing w:val="-2"/>
        </w:rPr>
        <w:t xml:space="preserve"> </w:t>
      </w:r>
      <w:r w:rsidRPr="00DF4746">
        <w:t>monitoring</w:t>
      </w:r>
    </w:p>
    <w:p w14:paraId="52BFCB45" w14:textId="77777777" w:rsidR="006D724E" w:rsidRPr="00DF4746" w:rsidRDefault="009F37FD" w:rsidP="008B40F5">
      <w:pPr>
        <w:pStyle w:val="ListParagraph"/>
        <w:numPr>
          <w:ilvl w:val="0"/>
          <w:numId w:val="12"/>
        </w:numPr>
        <w:tabs>
          <w:tab w:val="left" w:pos="1637"/>
          <w:tab w:val="left" w:pos="1639"/>
        </w:tabs>
        <w:spacing w:before="24"/>
        <w:jc w:val="both"/>
      </w:pPr>
      <w:r w:rsidRPr="00DF4746">
        <w:t>Audit and general probity</w:t>
      </w:r>
      <w:r w:rsidRPr="00DF4746">
        <w:rPr>
          <w:spacing w:val="-4"/>
        </w:rPr>
        <w:t xml:space="preserve"> </w:t>
      </w:r>
      <w:r w:rsidRPr="00DF4746">
        <w:t>issues</w:t>
      </w:r>
    </w:p>
    <w:p w14:paraId="52BFCB46" w14:textId="77777777" w:rsidR="006D724E" w:rsidRPr="00DF4746" w:rsidRDefault="009F37FD" w:rsidP="008B40F5">
      <w:pPr>
        <w:pStyle w:val="ListParagraph"/>
        <w:numPr>
          <w:ilvl w:val="0"/>
          <w:numId w:val="12"/>
        </w:numPr>
        <w:tabs>
          <w:tab w:val="left" w:pos="1637"/>
          <w:tab w:val="left" w:pos="1639"/>
        </w:tabs>
        <w:spacing w:before="23"/>
        <w:jc w:val="both"/>
      </w:pPr>
      <w:r w:rsidRPr="00DF4746">
        <w:t>Payments and contractual</w:t>
      </w:r>
      <w:r w:rsidRPr="00DF4746">
        <w:rPr>
          <w:spacing w:val="-3"/>
        </w:rPr>
        <w:t xml:space="preserve"> </w:t>
      </w:r>
      <w:r w:rsidRPr="00DF4746">
        <w:t>arrangements</w:t>
      </w:r>
    </w:p>
    <w:p w14:paraId="52BFCB47" w14:textId="77777777" w:rsidR="006D724E" w:rsidRPr="00DF4746" w:rsidRDefault="009F37FD" w:rsidP="008B40F5">
      <w:pPr>
        <w:pStyle w:val="ListParagraph"/>
        <w:numPr>
          <w:ilvl w:val="0"/>
          <w:numId w:val="12"/>
        </w:numPr>
        <w:tabs>
          <w:tab w:val="left" w:pos="1637"/>
          <w:tab w:val="left" w:pos="1639"/>
        </w:tabs>
        <w:spacing w:before="24"/>
        <w:jc w:val="both"/>
      </w:pPr>
      <w:r w:rsidRPr="00DF4746">
        <w:t>Banking and budget share</w:t>
      </w:r>
      <w:r w:rsidRPr="00DF4746">
        <w:rPr>
          <w:spacing w:val="-2"/>
        </w:rPr>
        <w:t xml:space="preserve"> </w:t>
      </w:r>
      <w:r w:rsidRPr="00DF4746">
        <w:t>instalments</w:t>
      </w:r>
    </w:p>
    <w:p w14:paraId="52BFCB48" w14:textId="77777777" w:rsidR="006D724E" w:rsidRPr="00DF4746" w:rsidRDefault="009F37FD" w:rsidP="008B40F5">
      <w:pPr>
        <w:pStyle w:val="ListParagraph"/>
        <w:numPr>
          <w:ilvl w:val="0"/>
          <w:numId w:val="12"/>
        </w:numPr>
        <w:tabs>
          <w:tab w:val="left" w:pos="1637"/>
          <w:tab w:val="left" w:pos="1639"/>
        </w:tabs>
        <w:spacing w:before="23"/>
        <w:jc w:val="both"/>
      </w:pPr>
      <w:r w:rsidRPr="00DF4746">
        <w:t>Treatment of any budget surplus and deficit</w:t>
      </w:r>
      <w:r w:rsidRPr="00DF4746">
        <w:rPr>
          <w:spacing w:val="-1"/>
        </w:rPr>
        <w:t xml:space="preserve"> </w:t>
      </w:r>
      <w:r w:rsidRPr="00DF4746">
        <w:t>balances</w:t>
      </w:r>
    </w:p>
    <w:p w14:paraId="52BFCB49" w14:textId="77777777" w:rsidR="006D724E" w:rsidRPr="00DF4746" w:rsidRDefault="009F37FD" w:rsidP="008B40F5">
      <w:pPr>
        <w:pStyle w:val="ListParagraph"/>
        <w:numPr>
          <w:ilvl w:val="0"/>
          <w:numId w:val="12"/>
        </w:numPr>
        <w:tabs>
          <w:tab w:val="left" w:pos="1637"/>
          <w:tab w:val="left" w:pos="1639"/>
        </w:tabs>
        <w:spacing w:before="23"/>
        <w:ind w:right="1139"/>
        <w:jc w:val="both"/>
      </w:pPr>
      <w:r w:rsidRPr="00DF4746">
        <w:t xml:space="preserve">Charging school budget shares for certain costs incurred by the Local Authority </w:t>
      </w:r>
      <w:proofErr w:type="gramStart"/>
      <w:r w:rsidRPr="00DF4746">
        <w:t>as a result of</w:t>
      </w:r>
      <w:proofErr w:type="gramEnd"/>
      <w:r w:rsidRPr="00DF4746">
        <w:t xml:space="preserve"> decisions made by Governing</w:t>
      </w:r>
      <w:r w:rsidRPr="00DF4746">
        <w:rPr>
          <w:spacing w:val="-1"/>
        </w:rPr>
        <w:t xml:space="preserve"> </w:t>
      </w:r>
      <w:r w:rsidRPr="00DF4746">
        <w:t>Bodies</w:t>
      </w:r>
    </w:p>
    <w:p w14:paraId="52BFCB4A" w14:textId="77777777" w:rsidR="006D724E" w:rsidRPr="00DF4746" w:rsidRDefault="009F37FD" w:rsidP="008B40F5">
      <w:pPr>
        <w:pStyle w:val="ListParagraph"/>
        <w:numPr>
          <w:ilvl w:val="0"/>
          <w:numId w:val="12"/>
        </w:numPr>
        <w:tabs>
          <w:tab w:val="left" w:pos="1637"/>
          <w:tab w:val="left" w:pos="1639"/>
        </w:tabs>
        <w:spacing w:before="4"/>
        <w:jc w:val="both"/>
      </w:pPr>
      <w:r w:rsidRPr="00DF4746">
        <w:t>Taxation</w:t>
      </w:r>
    </w:p>
    <w:p w14:paraId="52BFCB4B" w14:textId="77777777" w:rsidR="006D724E" w:rsidRPr="00DF4746" w:rsidRDefault="009F37FD" w:rsidP="008B40F5">
      <w:pPr>
        <w:pStyle w:val="ListParagraph"/>
        <w:numPr>
          <w:ilvl w:val="0"/>
          <w:numId w:val="12"/>
        </w:numPr>
        <w:tabs>
          <w:tab w:val="left" w:pos="1637"/>
          <w:tab w:val="left" w:pos="1639"/>
        </w:tabs>
        <w:spacing w:before="24"/>
        <w:jc w:val="both"/>
      </w:pPr>
      <w:r w:rsidRPr="00DF4746">
        <w:t>Capital expenditure and responsibility for repairs and</w:t>
      </w:r>
      <w:r w:rsidRPr="00DF4746">
        <w:rPr>
          <w:spacing w:val="-9"/>
        </w:rPr>
        <w:t xml:space="preserve"> </w:t>
      </w:r>
      <w:r w:rsidRPr="00DF4746">
        <w:t>maintenance.</w:t>
      </w:r>
    </w:p>
    <w:p w14:paraId="52BFCB4C" w14:textId="77777777" w:rsidR="006D724E" w:rsidRPr="00DF4746" w:rsidRDefault="006D724E" w:rsidP="006D724E">
      <w:pPr>
        <w:pStyle w:val="BodyText"/>
        <w:jc w:val="both"/>
      </w:pPr>
    </w:p>
    <w:p w14:paraId="52BFCB4D" w14:textId="6BFF772A" w:rsidR="006D724E" w:rsidRPr="00DF4746" w:rsidRDefault="009F37FD" w:rsidP="008B40F5">
      <w:pPr>
        <w:pStyle w:val="BodyText"/>
        <w:ind w:left="919" w:right="1208"/>
        <w:jc w:val="both"/>
      </w:pPr>
      <w:r w:rsidRPr="00DF4746">
        <w:t>A fuller description of the mai</w:t>
      </w:r>
      <w:r w:rsidR="00331147">
        <w:t>n features of the Fair Funding F</w:t>
      </w:r>
      <w:r w:rsidRPr="00DF4746">
        <w:t>ramework is below;</w:t>
      </w:r>
    </w:p>
    <w:p w14:paraId="52BFCB4E" w14:textId="77777777" w:rsidR="006D724E" w:rsidRPr="00DF4746" w:rsidRDefault="006D724E" w:rsidP="008B40F5">
      <w:pPr>
        <w:pStyle w:val="BodyText"/>
        <w:ind w:left="919" w:right="1208"/>
        <w:jc w:val="both"/>
      </w:pPr>
    </w:p>
    <w:p w14:paraId="52BFCB4F" w14:textId="77777777" w:rsidR="006D724E" w:rsidRPr="00DF4746" w:rsidRDefault="009F37FD" w:rsidP="008B40F5">
      <w:pPr>
        <w:pStyle w:val="BodyText"/>
        <w:ind w:left="919" w:right="1208"/>
        <w:jc w:val="both"/>
      </w:pPr>
      <w:r w:rsidRPr="00DF4746">
        <w:t>The funding framework which replaces Local Management of Schools is set out in the legislative provisions in sections 45 to 53 of the School Standards and Framework Act 1998.</w:t>
      </w:r>
    </w:p>
    <w:p w14:paraId="52BFCB50" w14:textId="77777777" w:rsidR="006D724E" w:rsidRPr="00DF4746" w:rsidRDefault="006D724E" w:rsidP="008B40F5">
      <w:pPr>
        <w:pStyle w:val="BodyText"/>
        <w:ind w:left="919" w:right="1208"/>
        <w:jc w:val="both"/>
      </w:pPr>
    </w:p>
    <w:p w14:paraId="52BFCB51" w14:textId="77777777" w:rsidR="006D724E" w:rsidRPr="00DF4746" w:rsidRDefault="009F37FD" w:rsidP="008B40F5">
      <w:pPr>
        <w:pStyle w:val="BodyText"/>
        <w:ind w:left="919" w:right="1208"/>
        <w:jc w:val="both"/>
      </w:pPr>
      <w:r w:rsidRPr="00DF4746">
        <w:t>Under this legislation, local authorities determine for themselves the size of their schools budget and their non-schools education budget, although at a minimum an authority must appropriate its entire dedicated schools grant to its schools budget.</w:t>
      </w:r>
    </w:p>
    <w:p w14:paraId="52BFCB52" w14:textId="77777777" w:rsidR="006D724E" w:rsidRPr="00DF4746" w:rsidRDefault="006D724E" w:rsidP="008B40F5">
      <w:pPr>
        <w:pStyle w:val="BodyText"/>
        <w:ind w:left="919" w:right="1208"/>
        <w:jc w:val="both"/>
      </w:pPr>
    </w:p>
    <w:p w14:paraId="52BFCB53" w14:textId="58CAD963" w:rsidR="006D724E" w:rsidRPr="00DF4746" w:rsidRDefault="009F37FD" w:rsidP="008B40F5">
      <w:pPr>
        <w:pStyle w:val="BodyText"/>
        <w:ind w:left="919" w:right="1208"/>
        <w:jc w:val="both"/>
      </w:pPr>
      <w:r w:rsidRPr="00DF4746">
        <w:t xml:space="preserve">The categories of expenditure which fall within the 2 budgets are prescribed under regulations made by the Secretary of State, but included within the 2, taken together, is all expenditure, direct and indirect, on an </w:t>
      </w:r>
      <w:r w:rsidR="00451479" w:rsidRPr="00DF4746">
        <w:t>authority’s-maintained</w:t>
      </w:r>
      <w:r w:rsidRPr="00DF4746">
        <w:t xml:space="preserve"> schools except for capital and certain miscellaneous items.</w:t>
      </w:r>
    </w:p>
    <w:p w14:paraId="52BFCB54" w14:textId="77777777" w:rsidR="006D724E" w:rsidRPr="00DF4746" w:rsidRDefault="006D724E" w:rsidP="008B40F5">
      <w:pPr>
        <w:pStyle w:val="BodyText"/>
        <w:ind w:left="919" w:right="1208"/>
        <w:jc w:val="both"/>
      </w:pPr>
    </w:p>
    <w:p w14:paraId="52BFCB55" w14:textId="37F1579C" w:rsidR="006D724E" w:rsidRPr="00DF4746" w:rsidRDefault="009F37FD" w:rsidP="008B40F5">
      <w:pPr>
        <w:pStyle w:val="BodyText"/>
        <w:ind w:left="919" w:right="1208"/>
        <w:jc w:val="both"/>
      </w:pPr>
      <w:r w:rsidRPr="00DF4746">
        <w:t xml:space="preserve">Authorities may deduct funds from their schools budget for purposes specified in regulations made by the Secretary of </w:t>
      </w:r>
      <w:r w:rsidR="00331147">
        <w:t>State under section 45A of the A</w:t>
      </w:r>
      <w:r w:rsidRPr="00DF4746">
        <w:t>ct (the centrally retained expenditure).</w:t>
      </w:r>
    </w:p>
    <w:p w14:paraId="52BFCB56" w14:textId="77777777" w:rsidR="006D724E" w:rsidRPr="00DF4746" w:rsidRDefault="006D724E" w:rsidP="008B40F5">
      <w:pPr>
        <w:pStyle w:val="BodyText"/>
        <w:ind w:left="919" w:right="1208"/>
        <w:jc w:val="both"/>
      </w:pPr>
    </w:p>
    <w:p w14:paraId="52BFCB57" w14:textId="40F7120A" w:rsidR="006D724E" w:rsidRPr="00DF4746" w:rsidRDefault="009F37FD" w:rsidP="008B40F5">
      <w:pPr>
        <w:pStyle w:val="BodyText"/>
        <w:ind w:left="919" w:right="1208"/>
        <w:jc w:val="both"/>
      </w:pPr>
      <w:r w:rsidRPr="00DF4746">
        <w:t xml:space="preserve">The amounts to be deducted for these purposes are decided by the authority concerned, subject to any limits or conditions, including gaining the approval of </w:t>
      </w:r>
      <w:r w:rsidR="00331147">
        <w:t>their S</w:t>
      </w:r>
      <w:r w:rsidRPr="00DF4746">
        <w:t>chools</w:t>
      </w:r>
      <w:r w:rsidR="00331147">
        <w:t>’ F</w:t>
      </w:r>
      <w:r w:rsidRPr="00DF4746">
        <w:t>orum or the Secretary of State in certain instances, as prescribed by the Secretary of State.</w:t>
      </w:r>
    </w:p>
    <w:p w14:paraId="52BFCB58" w14:textId="77777777" w:rsidR="006D724E" w:rsidRPr="00DF4746" w:rsidRDefault="006D724E" w:rsidP="008B40F5">
      <w:pPr>
        <w:pStyle w:val="BodyText"/>
        <w:ind w:left="919" w:right="1208"/>
        <w:jc w:val="both"/>
      </w:pPr>
    </w:p>
    <w:p w14:paraId="52BFCB59" w14:textId="77777777" w:rsidR="006D724E" w:rsidRPr="00DF4746" w:rsidRDefault="009F37FD" w:rsidP="008B40F5">
      <w:pPr>
        <w:pStyle w:val="BodyText"/>
        <w:ind w:left="919" w:right="1208"/>
        <w:jc w:val="both"/>
      </w:pPr>
      <w:r w:rsidRPr="00DF4746">
        <w:t>The balance of the schools budget left after deduction of the centrally retained expenditure is termed the individual schools budget (ISB). Expenditure items in the non-schools education budget must be retained centrally, although earmarked allocations may be made to schools.</w:t>
      </w:r>
    </w:p>
    <w:p w14:paraId="52BFCB5A" w14:textId="77777777" w:rsidR="006D724E" w:rsidRPr="00DF4746" w:rsidRDefault="006D724E" w:rsidP="008B40F5">
      <w:pPr>
        <w:pStyle w:val="BodyText"/>
        <w:ind w:left="919" w:right="1208"/>
        <w:jc w:val="both"/>
      </w:pPr>
    </w:p>
    <w:p w14:paraId="52BFCB5B" w14:textId="6F8B5191" w:rsidR="006D724E" w:rsidRPr="00DF4746" w:rsidRDefault="009F37FD" w:rsidP="008B40F5">
      <w:pPr>
        <w:pStyle w:val="BodyText"/>
        <w:ind w:left="919" w:right="1208"/>
        <w:jc w:val="both"/>
      </w:pPr>
      <w:r w:rsidRPr="00DF4746">
        <w:t xml:space="preserve">Authorities must distribute the ISB amongst their maintained schools using a formula which accords with regulations made by the Secretary of </w:t>
      </w:r>
      <w:r w:rsidR="00451479" w:rsidRPr="00DF4746">
        <w:t>State and</w:t>
      </w:r>
      <w:r w:rsidRPr="00DF4746">
        <w:t xml:space="preserve"> enables the calculation of a budget share for each maintained school.</w:t>
      </w:r>
    </w:p>
    <w:p w14:paraId="52BFCB5C" w14:textId="77777777" w:rsidR="006D724E" w:rsidRPr="00DF4746" w:rsidRDefault="006D724E" w:rsidP="008B40F5">
      <w:pPr>
        <w:pStyle w:val="BodyText"/>
        <w:ind w:left="919" w:right="1208"/>
        <w:jc w:val="both"/>
      </w:pPr>
    </w:p>
    <w:p w14:paraId="52BFCB5D" w14:textId="77777777" w:rsidR="006D724E" w:rsidRPr="00DF4746" w:rsidRDefault="009F37FD" w:rsidP="008B40F5">
      <w:pPr>
        <w:pStyle w:val="BodyText"/>
        <w:ind w:left="919" w:right="1208"/>
        <w:jc w:val="both"/>
      </w:pPr>
      <w:r w:rsidRPr="00DF4746">
        <w:t>This budget share is then delegated to the governing body of the school concerned, unless the school is a new school which has not yet received a delegated budget, or the right to a delegated budget has been suspended in accordance with section 51 of the Act.</w:t>
      </w:r>
    </w:p>
    <w:p w14:paraId="52BFCB5E" w14:textId="77777777" w:rsidR="006D724E" w:rsidRPr="00DF4746" w:rsidRDefault="006D724E" w:rsidP="008B40F5">
      <w:pPr>
        <w:pStyle w:val="BodyText"/>
        <w:ind w:left="919" w:right="1208"/>
        <w:jc w:val="both"/>
      </w:pPr>
    </w:p>
    <w:p w14:paraId="52BFCB5F" w14:textId="7B81853E" w:rsidR="006D724E" w:rsidRPr="00DF4746" w:rsidRDefault="009F37FD" w:rsidP="008B40F5">
      <w:pPr>
        <w:pStyle w:val="BodyText"/>
        <w:ind w:left="919" w:right="1208"/>
        <w:jc w:val="both"/>
      </w:pPr>
      <w:r w:rsidRPr="00DF4746">
        <w:t>The financial controls within which delegation works are set out in a scheme made by the authority in acc</w:t>
      </w:r>
      <w:r w:rsidR="00331147">
        <w:t>ordance with section 48 of the A</w:t>
      </w:r>
      <w:r w:rsidRPr="00DF4746">
        <w:t>ct and regulations made under that section.</w:t>
      </w:r>
    </w:p>
    <w:p w14:paraId="52BFCB60" w14:textId="77777777" w:rsidR="006D724E" w:rsidRPr="00DF4746" w:rsidRDefault="006D724E" w:rsidP="006D724E">
      <w:pPr>
        <w:pStyle w:val="BodyText"/>
        <w:spacing w:line="264" w:lineRule="auto"/>
        <w:ind w:left="917" w:right="1209"/>
        <w:jc w:val="both"/>
      </w:pPr>
    </w:p>
    <w:p w14:paraId="52BFCB61" w14:textId="65A2C66B" w:rsidR="006D724E" w:rsidRPr="00DF4746" w:rsidRDefault="009F37FD" w:rsidP="008B40F5">
      <w:pPr>
        <w:pStyle w:val="BodyText"/>
        <w:ind w:left="919" w:right="1208"/>
        <w:jc w:val="both"/>
      </w:pPr>
      <w:r w:rsidRPr="00DF4746">
        <w:t xml:space="preserve">All proposals to revise the </w:t>
      </w:r>
      <w:r w:rsidR="00331147">
        <w:t>scheme must be approved by the S</w:t>
      </w:r>
      <w:r w:rsidRPr="00DF4746">
        <w:t>chools</w:t>
      </w:r>
      <w:r w:rsidR="00331147">
        <w:t>’</w:t>
      </w:r>
      <w:r w:rsidRPr="00DF4746">
        <w:t xml:space="preserve"> </w:t>
      </w:r>
      <w:r w:rsidR="00331147">
        <w:t>F</w:t>
      </w:r>
      <w:r w:rsidRPr="00DF4746">
        <w:t xml:space="preserve">orum, though the authority may apply to the Secretary of State for approval in the event of the </w:t>
      </w:r>
      <w:r w:rsidR="00331147">
        <w:t>F</w:t>
      </w:r>
      <w:r w:rsidRPr="00DF4746">
        <w:t xml:space="preserve">orum rejecting a proposal or </w:t>
      </w:r>
      <w:r w:rsidRPr="00DF4746">
        <w:lastRenderedPageBreak/>
        <w:t xml:space="preserve">approving it subject to modifications that are not acceptable to the </w:t>
      </w:r>
      <w:r w:rsidR="00331147">
        <w:t>A</w:t>
      </w:r>
      <w:r w:rsidRPr="00DF4746">
        <w:t>uthority.</w:t>
      </w:r>
    </w:p>
    <w:p w14:paraId="52BFCB62" w14:textId="77777777" w:rsidR="006D724E" w:rsidRPr="00DF4746" w:rsidRDefault="006D724E" w:rsidP="006D724E">
      <w:pPr>
        <w:pStyle w:val="BodyText"/>
        <w:spacing w:line="264" w:lineRule="auto"/>
        <w:ind w:left="917" w:right="1209"/>
        <w:jc w:val="both"/>
      </w:pPr>
    </w:p>
    <w:p w14:paraId="52BFCB63" w14:textId="77777777" w:rsidR="006D724E" w:rsidRPr="00DF4746" w:rsidRDefault="009F37FD" w:rsidP="008B40F5">
      <w:pPr>
        <w:pStyle w:val="BodyText"/>
        <w:ind w:left="917" w:right="1209"/>
        <w:jc w:val="both"/>
      </w:pPr>
      <w:r w:rsidRPr="00DF4746">
        <w:t>Subject to any provision made by or under the scheme, governing bodies of schools may spend such amounts of their budget shares as they think fit for any purposes of their school and for any additional purposes prescribed by the Secretary of State in regulations made under section 50 of the Act.</w:t>
      </w:r>
    </w:p>
    <w:p w14:paraId="52BFCB64" w14:textId="77777777" w:rsidR="006D724E" w:rsidRPr="00DF4746" w:rsidRDefault="006D724E" w:rsidP="008B40F5">
      <w:pPr>
        <w:pStyle w:val="BodyText"/>
        <w:ind w:left="917" w:right="1209"/>
        <w:jc w:val="both"/>
      </w:pPr>
    </w:p>
    <w:p w14:paraId="52BFCB65" w14:textId="7ED287F8" w:rsidR="006D724E" w:rsidRPr="00DF4746" w:rsidRDefault="009F37FD" w:rsidP="008B40F5">
      <w:pPr>
        <w:pStyle w:val="BodyText"/>
        <w:ind w:left="917" w:right="1209"/>
        <w:jc w:val="both"/>
      </w:pPr>
      <w:r w:rsidRPr="00DF4746">
        <w:t xml:space="preserve">Section 50 has been amended to provide that amounts spent by a governing body on providing community facilities or services under section 27 of the Education Act 2002 are treated as if they were amounts spent </w:t>
      </w:r>
      <w:r w:rsidR="006761DE">
        <w:t>for the purposes of the school (section 50 (3A) of the A</w:t>
      </w:r>
      <w:r w:rsidRPr="00DF4746">
        <w:t>ct).</w:t>
      </w:r>
    </w:p>
    <w:p w14:paraId="52BFCB66" w14:textId="77777777" w:rsidR="006D724E" w:rsidRPr="00DF4746" w:rsidRDefault="006D724E" w:rsidP="008B40F5">
      <w:pPr>
        <w:pStyle w:val="BodyText"/>
        <w:ind w:left="917" w:right="1209"/>
        <w:jc w:val="both"/>
      </w:pPr>
    </w:p>
    <w:p w14:paraId="52BFCB67" w14:textId="77777777" w:rsidR="006D724E" w:rsidRPr="00DF4746" w:rsidRDefault="009F37FD" w:rsidP="008B40F5">
      <w:pPr>
        <w:pStyle w:val="BodyText"/>
        <w:ind w:left="917" w:right="1209"/>
        <w:jc w:val="both"/>
      </w:pPr>
      <w:r w:rsidRPr="00DF4746">
        <w:t>An authority may suspend a school’s right to a delegated budget if the provisions of the authority’s financial scheme, or rules applied by the scheme, have been substantially or persistently breached, or if the budget share has not been managed satisfactorily.</w:t>
      </w:r>
    </w:p>
    <w:p w14:paraId="52BFCB68" w14:textId="77777777" w:rsidR="006D724E" w:rsidRPr="00DF4746" w:rsidRDefault="006D724E" w:rsidP="008B40F5">
      <w:pPr>
        <w:pStyle w:val="BodyText"/>
        <w:ind w:left="917" w:right="1209"/>
        <w:jc w:val="both"/>
      </w:pPr>
    </w:p>
    <w:p w14:paraId="52BFCB69" w14:textId="31CB06B7" w:rsidR="006D724E" w:rsidRPr="00DF4746" w:rsidRDefault="009F37FD" w:rsidP="008B40F5">
      <w:pPr>
        <w:pStyle w:val="BodyText"/>
        <w:ind w:left="917" w:right="1209"/>
        <w:jc w:val="both"/>
      </w:pPr>
      <w:r w:rsidRPr="00DF4746">
        <w:t>A school’s right to a delegated budget share may also be suspended for other rea</w:t>
      </w:r>
      <w:r w:rsidR="006761DE">
        <w:t>sons, under schedule 17 to the A</w:t>
      </w:r>
      <w:r w:rsidRPr="00DF4746">
        <w:t>ct.</w:t>
      </w:r>
    </w:p>
    <w:p w14:paraId="52BFCB6A" w14:textId="77777777" w:rsidR="006D724E" w:rsidRPr="00DF4746" w:rsidRDefault="006D724E" w:rsidP="008B40F5">
      <w:pPr>
        <w:pStyle w:val="BodyText"/>
        <w:ind w:left="917" w:right="1209"/>
        <w:jc w:val="both"/>
      </w:pPr>
    </w:p>
    <w:p w14:paraId="52BFCB6B" w14:textId="6B4B7DC3" w:rsidR="006D724E" w:rsidRPr="00DF4746" w:rsidRDefault="009F37FD" w:rsidP="008B40F5">
      <w:pPr>
        <w:pStyle w:val="BodyText"/>
        <w:ind w:left="917" w:right="1209"/>
        <w:jc w:val="both"/>
      </w:pPr>
      <w:r w:rsidRPr="00DF4746">
        <w:t>Each authority is obliged to publish each year a statement setting out details of its planned schools b</w:t>
      </w:r>
      <w:r w:rsidR="006761DE">
        <w:t>udget and other expenditure on Children’s S</w:t>
      </w:r>
      <w:r w:rsidRPr="00DF4746">
        <w:t>ervices, showing the amounts to be centrally retained and funding delegated to schools; after each financial year the authority must publish a statement showing outturn expenditure.</w:t>
      </w:r>
    </w:p>
    <w:p w14:paraId="52BFCB6C" w14:textId="77777777" w:rsidR="006D724E" w:rsidRPr="00DF4746" w:rsidRDefault="006D724E" w:rsidP="008B40F5">
      <w:pPr>
        <w:pStyle w:val="BodyText"/>
        <w:ind w:left="917" w:right="1209"/>
        <w:jc w:val="both"/>
      </w:pPr>
    </w:p>
    <w:p w14:paraId="52BFCB6D" w14:textId="77777777" w:rsidR="006D724E" w:rsidRPr="00DF4746" w:rsidRDefault="009F37FD" w:rsidP="008B40F5">
      <w:pPr>
        <w:pStyle w:val="BodyText"/>
        <w:ind w:left="917" w:right="1209"/>
        <w:jc w:val="both"/>
      </w:pPr>
      <w:r w:rsidRPr="00DF4746">
        <w:t>The detailed publication requirements for financial statements are set out in directions issued by the Secretary of State.</w:t>
      </w:r>
    </w:p>
    <w:p w14:paraId="52BFCB6E" w14:textId="77777777" w:rsidR="006D724E" w:rsidRPr="00DF4746" w:rsidRDefault="006D724E" w:rsidP="008B40F5">
      <w:pPr>
        <w:pStyle w:val="BodyText"/>
        <w:ind w:left="917" w:right="1209"/>
        <w:jc w:val="both"/>
      </w:pPr>
    </w:p>
    <w:p w14:paraId="52BFCB6F" w14:textId="77777777" w:rsidR="006D724E" w:rsidRPr="00DF4746" w:rsidRDefault="009F37FD" w:rsidP="008B40F5">
      <w:pPr>
        <w:pStyle w:val="BodyText"/>
        <w:ind w:left="917" w:right="1209"/>
        <w:jc w:val="both"/>
      </w:pPr>
      <w:r w:rsidRPr="00DF4746">
        <w:t>A copy of each year’s budget and outturn statement should be made easily accessible to all schools.</w:t>
      </w:r>
    </w:p>
    <w:p w14:paraId="52BFCB70" w14:textId="77777777" w:rsidR="006D724E" w:rsidRPr="00DF4746" w:rsidRDefault="006D724E" w:rsidP="008B40F5">
      <w:pPr>
        <w:pStyle w:val="BodyText"/>
        <w:ind w:left="917" w:right="1209"/>
        <w:jc w:val="both"/>
      </w:pPr>
    </w:p>
    <w:p w14:paraId="52BFCB71" w14:textId="77777777" w:rsidR="006D724E" w:rsidRPr="00DF4746" w:rsidRDefault="009F37FD" w:rsidP="008B40F5">
      <w:pPr>
        <w:pStyle w:val="BodyText"/>
        <w:ind w:left="917" w:right="1209"/>
        <w:jc w:val="both"/>
      </w:pPr>
      <w:r w:rsidRPr="00DF4746">
        <w:t xml:space="preserve">Regulations also require a local authority to publish their scheme and any revisions to it on a website accessible to the </w:t>
      </w:r>
      <w:proofErr w:type="gramStart"/>
      <w:r w:rsidRPr="00DF4746">
        <w:t>general public</w:t>
      </w:r>
      <w:proofErr w:type="gramEnd"/>
      <w:r w:rsidRPr="00DF4746">
        <w:t>, by the date that any revisions come into force, together with a statement that the revised scheme comes into force on that date.</w:t>
      </w:r>
    </w:p>
    <w:p w14:paraId="52BFCB72" w14:textId="77777777" w:rsidR="006D724E" w:rsidRPr="00540994" w:rsidRDefault="006D724E" w:rsidP="008B40F5">
      <w:pPr>
        <w:pStyle w:val="BodyText"/>
        <w:spacing w:before="4"/>
      </w:pPr>
    </w:p>
    <w:p w14:paraId="52BFCB73" w14:textId="77777777" w:rsidR="006D724E" w:rsidRDefault="009F37FD" w:rsidP="008B40F5">
      <w:pPr>
        <w:pStyle w:val="Heading1"/>
        <w:numPr>
          <w:ilvl w:val="1"/>
          <w:numId w:val="13"/>
        </w:numPr>
        <w:tabs>
          <w:tab w:val="left" w:pos="1637"/>
          <w:tab w:val="left" w:pos="1639"/>
        </w:tabs>
      </w:pPr>
      <w:r>
        <w:t>The Role of the</w:t>
      </w:r>
      <w:r>
        <w:rPr>
          <w:spacing w:val="1"/>
        </w:rPr>
        <w:t xml:space="preserve"> </w:t>
      </w:r>
      <w:r>
        <w:t>Scheme</w:t>
      </w:r>
    </w:p>
    <w:p w14:paraId="52BFCB74" w14:textId="77777777" w:rsidR="006D724E" w:rsidRPr="00DF4746" w:rsidRDefault="009F37FD" w:rsidP="008B40F5">
      <w:pPr>
        <w:pStyle w:val="BodyText"/>
        <w:ind w:left="917" w:right="1184"/>
        <w:jc w:val="both"/>
      </w:pPr>
      <w:r w:rsidRPr="00DF4746">
        <w:t>This scheme sets out the financial relationship between the Authority and the maintained schools which it funds. The scheme contains requirements relating to financial management and associated issues which are binding on both the Authority and schools.</w:t>
      </w:r>
    </w:p>
    <w:p w14:paraId="52BFCB75" w14:textId="77777777" w:rsidR="006D724E" w:rsidRPr="00540994" w:rsidRDefault="006D724E" w:rsidP="008B40F5">
      <w:pPr>
        <w:pStyle w:val="BodyText"/>
        <w:spacing w:before="3"/>
      </w:pPr>
    </w:p>
    <w:p w14:paraId="52BFCB76" w14:textId="77777777" w:rsidR="006D724E" w:rsidRPr="00DF4746" w:rsidRDefault="009F37FD" w:rsidP="008B40F5">
      <w:pPr>
        <w:pStyle w:val="BodyText"/>
        <w:ind w:left="917"/>
        <w:jc w:val="both"/>
      </w:pPr>
      <w:r w:rsidRPr="00DF4746">
        <w:rPr>
          <w:u w:val="single"/>
        </w:rPr>
        <w:t>The Local Authority</w:t>
      </w:r>
    </w:p>
    <w:p w14:paraId="52BFCB77" w14:textId="202B823B" w:rsidR="006D724E" w:rsidRPr="00DF4746" w:rsidRDefault="009F37FD" w:rsidP="008B40F5">
      <w:pPr>
        <w:pStyle w:val="BodyText"/>
        <w:spacing w:before="94"/>
        <w:ind w:left="917" w:right="1233"/>
        <w:jc w:val="both"/>
      </w:pPr>
      <w:r w:rsidRPr="00DF4746">
        <w:t>The Local Authority has responsibility for determining the total resources that will be available to schools, establishing the basis for the allocation of resources to individual schools (following consultation with schools and the Schools</w:t>
      </w:r>
      <w:r w:rsidR="006761DE">
        <w:t>’</w:t>
      </w:r>
      <w:r w:rsidRPr="00DF4746">
        <w:t xml:space="preserve"> Forum), giving advice to schools and taking corrective action if necessary, and operating sanctions including the withdrawal of delegation where appropriate.</w:t>
      </w:r>
    </w:p>
    <w:p w14:paraId="52BFCB78" w14:textId="77777777" w:rsidR="006D724E" w:rsidRPr="00540994" w:rsidRDefault="006D724E" w:rsidP="008B40F5">
      <w:pPr>
        <w:pStyle w:val="BodyText"/>
        <w:spacing w:before="1"/>
        <w:jc w:val="both"/>
      </w:pPr>
    </w:p>
    <w:p w14:paraId="52BFCB7A" w14:textId="77777777" w:rsidR="006D724E" w:rsidRPr="00DF4746" w:rsidRDefault="009F37FD" w:rsidP="008B40F5">
      <w:pPr>
        <w:pStyle w:val="BodyText"/>
        <w:ind w:left="917"/>
        <w:jc w:val="both"/>
      </w:pPr>
      <w:r w:rsidRPr="00DF4746">
        <w:rPr>
          <w:u w:val="single"/>
        </w:rPr>
        <w:t>The Governing Body</w:t>
      </w:r>
    </w:p>
    <w:p w14:paraId="52BFCB7B" w14:textId="402FD8FE" w:rsidR="006D724E" w:rsidRPr="00DF4746" w:rsidRDefault="009F37FD" w:rsidP="008B40F5">
      <w:pPr>
        <w:pStyle w:val="BodyText"/>
        <w:spacing w:before="94"/>
        <w:ind w:left="917" w:right="1184"/>
        <w:jc w:val="both"/>
      </w:pPr>
      <w:r w:rsidRPr="00DF4746">
        <w:t>Within the national and local framework, governing bodies control the running of schools with delegated budgets and have the freedom to deploy resources according to their own educational needs and priorities. In administering the delegated budget, the governing body should have regard for the proper accountability and control over expenditure.</w:t>
      </w:r>
      <w:r w:rsidR="006761DE">
        <w:t xml:space="preserve"> </w:t>
      </w:r>
      <w:r w:rsidRPr="00DF4746">
        <w:t xml:space="preserve"> They should arrange to ensure that the delegated budget is used in an economical manner and that the highest standards of probity are maintained.</w:t>
      </w:r>
    </w:p>
    <w:p w14:paraId="52BFCB7C" w14:textId="77777777" w:rsidR="006D724E" w:rsidRPr="00540994" w:rsidRDefault="006D724E" w:rsidP="008B40F5">
      <w:pPr>
        <w:pStyle w:val="BodyText"/>
        <w:spacing w:before="3"/>
        <w:jc w:val="both"/>
      </w:pPr>
    </w:p>
    <w:p w14:paraId="52BFCB7D" w14:textId="7BABFF16" w:rsidR="006D724E" w:rsidRPr="00DF4746" w:rsidRDefault="009F37FD" w:rsidP="008B40F5">
      <w:pPr>
        <w:pStyle w:val="BodyText"/>
        <w:ind w:left="917" w:right="1136"/>
        <w:jc w:val="both"/>
      </w:pPr>
      <w:r w:rsidRPr="00DF4746">
        <w:t xml:space="preserve">The governing body is responsible for ensuring that this Scheme is observed in their school and that a system of internal controls is established which ensures that all activities under their control are conducted in a proper, efficient, effective and </w:t>
      </w:r>
      <w:r w:rsidR="00451479" w:rsidRPr="00DF4746">
        <w:t>well-ordered</w:t>
      </w:r>
      <w:r w:rsidRPr="00DF4746">
        <w:t xml:space="preserve"> manner.</w:t>
      </w:r>
    </w:p>
    <w:p w14:paraId="52BFCB7F" w14:textId="77777777" w:rsidR="006D724E" w:rsidRPr="00DF4746" w:rsidRDefault="009F37FD" w:rsidP="006761DE">
      <w:pPr>
        <w:pStyle w:val="BodyText"/>
        <w:ind w:left="919"/>
        <w:jc w:val="both"/>
      </w:pPr>
      <w:r w:rsidRPr="00DF4746">
        <w:lastRenderedPageBreak/>
        <w:t>The governing body must spend its delegated budget in a manner consistent with the requirements</w:t>
      </w:r>
    </w:p>
    <w:p w14:paraId="52BFCB80" w14:textId="77777777" w:rsidR="006D724E" w:rsidRPr="00DF4746" w:rsidRDefault="009F37FD" w:rsidP="006761DE">
      <w:pPr>
        <w:pStyle w:val="BodyText"/>
        <w:spacing w:before="71"/>
        <w:ind w:left="919"/>
        <w:jc w:val="both"/>
      </w:pPr>
      <w:r w:rsidRPr="00DF4746">
        <w:t>of the National Curriculum and other statutory requirements relating to the curriculum.</w:t>
      </w:r>
    </w:p>
    <w:p w14:paraId="52BFCB81" w14:textId="77777777" w:rsidR="006D724E" w:rsidRPr="00540994" w:rsidRDefault="006D724E" w:rsidP="008B40F5">
      <w:pPr>
        <w:pStyle w:val="BodyText"/>
        <w:spacing w:before="5"/>
        <w:jc w:val="both"/>
      </w:pPr>
    </w:p>
    <w:p w14:paraId="52BFCB82" w14:textId="477BC4C7" w:rsidR="006D724E" w:rsidRPr="00DF4746" w:rsidRDefault="009F37FD" w:rsidP="008B40F5">
      <w:pPr>
        <w:pStyle w:val="BodyText"/>
        <w:ind w:left="917" w:right="1244"/>
        <w:jc w:val="both"/>
      </w:pPr>
      <w:r w:rsidRPr="00DF4746">
        <w:t>The governing body should, together with the headteacher</w:t>
      </w:r>
      <w:r w:rsidR="006761DE">
        <w:t>,</w:t>
      </w:r>
      <w:r w:rsidRPr="00DF4746">
        <w:t xml:space="preserve"> develop and carry out a development (improvement) plan for their school taking account of the full range of responsibilities.</w:t>
      </w:r>
    </w:p>
    <w:p w14:paraId="06A44DA9" w14:textId="77777777" w:rsidR="006761DE" w:rsidRDefault="006761DE" w:rsidP="008B40F5">
      <w:pPr>
        <w:pStyle w:val="BodyText"/>
        <w:ind w:left="917" w:right="1134"/>
        <w:jc w:val="both"/>
      </w:pPr>
    </w:p>
    <w:p w14:paraId="52BFCB83" w14:textId="77777777" w:rsidR="006D724E" w:rsidRPr="00DF4746" w:rsidRDefault="009F37FD" w:rsidP="008B40F5">
      <w:pPr>
        <w:pStyle w:val="BodyText"/>
        <w:ind w:left="917" w:right="1134"/>
        <w:jc w:val="both"/>
      </w:pPr>
      <w:r w:rsidRPr="00DF4746">
        <w:t>Headteachers have a key role to play in helping the governing body to formulate the development plan.</w:t>
      </w:r>
    </w:p>
    <w:p w14:paraId="52BFCB84" w14:textId="77777777" w:rsidR="006D724E" w:rsidRPr="00540994" w:rsidRDefault="006D724E" w:rsidP="008B40F5">
      <w:pPr>
        <w:pStyle w:val="BodyText"/>
        <w:spacing w:before="3"/>
        <w:jc w:val="both"/>
      </w:pPr>
    </w:p>
    <w:p w14:paraId="52BFCB85" w14:textId="77777777" w:rsidR="006D724E" w:rsidRPr="00DF4746" w:rsidRDefault="009F37FD" w:rsidP="008B40F5">
      <w:pPr>
        <w:pStyle w:val="BodyText"/>
        <w:ind w:left="917" w:right="1037"/>
        <w:jc w:val="both"/>
      </w:pPr>
      <w:r w:rsidRPr="00DF4746">
        <w:t xml:space="preserve">Governing bodies of schools have the responsibility of spending money according to the perceived needs of the school. They should </w:t>
      </w:r>
      <w:proofErr w:type="gramStart"/>
      <w:r w:rsidRPr="00DF4746">
        <w:t>make arrangements</w:t>
      </w:r>
      <w:proofErr w:type="gramEnd"/>
      <w:r w:rsidRPr="00DF4746">
        <w:t xml:space="preserve"> for setting up clearly defined and documented structures to ensure that both financial and non-financial decisions are made effectively.</w:t>
      </w:r>
    </w:p>
    <w:p w14:paraId="52BFCB86" w14:textId="77777777" w:rsidR="006D724E" w:rsidRPr="00540994" w:rsidRDefault="006D724E">
      <w:pPr>
        <w:pStyle w:val="BodyText"/>
        <w:spacing w:before="4"/>
      </w:pPr>
    </w:p>
    <w:p w14:paraId="52BFCB87" w14:textId="77777777" w:rsidR="006D724E" w:rsidRDefault="009F37FD" w:rsidP="006D724E">
      <w:pPr>
        <w:pStyle w:val="Heading1"/>
        <w:numPr>
          <w:ilvl w:val="1"/>
          <w:numId w:val="13"/>
        </w:numPr>
        <w:tabs>
          <w:tab w:val="left" w:pos="1637"/>
          <w:tab w:val="left" w:pos="1639"/>
        </w:tabs>
      </w:pPr>
      <w:r>
        <w:t>The Application of the</w:t>
      </w:r>
      <w:r>
        <w:rPr>
          <w:spacing w:val="1"/>
        </w:rPr>
        <w:t xml:space="preserve"> </w:t>
      </w:r>
      <w:r>
        <w:t>Scheme</w:t>
      </w:r>
    </w:p>
    <w:p w14:paraId="52BFCB88" w14:textId="77777777" w:rsidR="006D724E" w:rsidRDefault="009F37FD" w:rsidP="005C06CF">
      <w:pPr>
        <w:pStyle w:val="BodyText"/>
        <w:spacing w:before="1" w:line="264" w:lineRule="auto"/>
        <w:ind w:left="917" w:right="1057"/>
        <w:jc w:val="both"/>
      </w:pPr>
      <w:r>
        <w:t>The scheme applies to all community, nursery, special, voluntary, foundation, and foundation special schools maintained by the Authority.</w:t>
      </w:r>
    </w:p>
    <w:p w14:paraId="52BFCB89" w14:textId="77777777" w:rsidR="006D724E" w:rsidRPr="00540994" w:rsidRDefault="006D724E" w:rsidP="008B40F5">
      <w:pPr>
        <w:pStyle w:val="BodyText"/>
        <w:spacing w:before="2"/>
        <w:jc w:val="both"/>
      </w:pPr>
    </w:p>
    <w:p w14:paraId="52BFCB8A" w14:textId="77777777" w:rsidR="006D724E" w:rsidRDefault="009F37FD" w:rsidP="008B40F5">
      <w:pPr>
        <w:pStyle w:val="BodyText"/>
        <w:ind w:left="917"/>
        <w:jc w:val="both"/>
      </w:pPr>
      <w:r>
        <w:t xml:space="preserve">The schools that the scheme covers are listed in </w:t>
      </w:r>
      <w:r w:rsidRPr="007201E9">
        <w:rPr>
          <w:b/>
        </w:rPr>
        <w:t>Appendix 1</w:t>
      </w:r>
      <w:r>
        <w:t>.</w:t>
      </w:r>
    </w:p>
    <w:p w14:paraId="52BFCB8B" w14:textId="77777777" w:rsidR="006D724E" w:rsidRPr="00540994" w:rsidRDefault="006D724E">
      <w:pPr>
        <w:pStyle w:val="BodyText"/>
      </w:pPr>
    </w:p>
    <w:p w14:paraId="52BFCB8C" w14:textId="77777777" w:rsidR="006D724E" w:rsidRDefault="009F37FD" w:rsidP="006D724E">
      <w:pPr>
        <w:pStyle w:val="Heading1"/>
        <w:numPr>
          <w:ilvl w:val="1"/>
          <w:numId w:val="13"/>
        </w:numPr>
        <w:tabs>
          <w:tab w:val="left" w:pos="1637"/>
          <w:tab w:val="left" w:pos="1639"/>
        </w:tabs>
      </w:pPr>
      <w:r>
        <w:t>Publication of the</w:t>
      </w:r>
      <w:r>
        <w:rPr>
          <w:spacing w:val="-4"/>
        </w:rPr>
        <w:t xml:space="preserve"> </w:t>
      </w:r>
      <w:r>
        <w:t>Scheme</w:t>
      </w:r>
    </w:p>
    <w:p w14:paraId="52BFCB8D" w14:textId="762BCF4F" w:rsidR="006D724E" w:rsidRDefault="009F37FD" w:rsidP="005C06CF">
      <w:pPr>
        <w:pStyle w:val="BodyText"/>
        <w:ind w:left="919" w:right="1057"/>
        <w:jc w:val="both"/>
      </w:pPr>
      <w:r>
        <w:t>A copy of the Scheme will be placed o</w:t>
      </w:r>
      <w:r w:rsidR="006761DE">
        <w:t>n the Council’s webs</w:t>
      </w:r>
      <w:r>
        <w:t>ite.  A copy will be emailed to each school whenever a new scheme or revision to the scheme is approved.  Any revised version will be published by the date the revisions come into force</w:t>
      </w:r>
      <w:r w:rsidR="005C06CF">
        <w:t>.</w:t>
      </w:r>
    </w:p>
    <w:p w14:paraId="52BFCB8E" w14:textId="77777777" w:rsidR="006D724E" w:rsidRPr="00540994" w:rsidRDefault="006D724E">
      <w:pPr>
        <w:pStyle w:val="BodyText"/>
        <w:spacing w:before="6"/>
      </w:pPr>
    </w:p>
    <w:p w14:paraId="52BFCB8F" w14:textId="77777777" w:rsidR="006D724E" w:rsidRDefault="009F37FD" w:rsidP="006D724E">
      <w:pPr>
        <w:pStyle w:val="Heading1"/>
        <w:numPr>
          <w:ilvl w:val="1"/>
          <w:numId w:val="13"/>
        </w:numPr>
        <w:tabs>
          <w:tab w:val="left" w:pos="1637"/>
          <w:tab w:val="left" w:pos="1639"/>
        </w:tabs>
        <w:spacing w:before="1"/>
      </w:pPr>
      <w:r>
        <w:t>Revision of the</w:t>
      </w:r>
      <w:r>
        <w:rPr>
          <w:spacing w:val="1"/>
        </w:rPr>
        <w:t xml:space="preserve"> </w:t>
      </w:r>
      <w:r>
        <w:t>Scheme</w:t>
      </w:r>
    </w:p>
    <w:p w14:paraId="52BFCB90" w14:textId="0EAC112C" w:rsidR="006D724E" w:rsidRDefault="009F37FD" w:rsidP="005C06CF">
      <w:pPr>
        <w:pStyle w:val="BodyText"/>
        <w:ind w:left="919" w:right="1055"/>
        <w:jc w:val="both"/>
      </w:pPr>
      <w:r>
        <w:t>Any revisions of the scheme, other than Secretary of State directed revisions, will be subject to consultation with schools and will be submitted to the Schools</w:t>
      </w:r>
      <w:r w:rsidR="006761DE">
        <w:t>’</w:t>
      </w:r>
      <w:r>
        <w:t xml:space="preserve"> Forum for approval. </w:t>
      </w:r>
      <w:r w:rsidR="006761DE">
        <w:t xml:space="preserve"> </w:t>
      </w:r>
      <w:r>
        <w:t xml:space="preserve">Approval must be by members of the Forum representing maintained schools.  </w:t>
      </w:r>
    </w:p>
    <w:p w14:paraId="52BFCB91" w14:textId="77777777" w:rsidR="006D724E" w:rsidRDefault="006D724E" w:rsidP="006D724E">
      <w:pPr>
        <w:pStyle w:val="BodyText"/>
        <w:spacing w:line="264" w:lineRule="auto"/>
        <w:ind w:left="917" w:right="1331"/>
        <w:jc w:val="both"/>
      </w:pPr>
    </w:p>
    <w:p w14:paraId="52BFCB92" w14:textId="77777777" w:rsidR="006D724E" w:rsidRDefault="009F37FD" w:rsidP="005C06CF">
      <w:pPr>
        <w:pStyle w:val="BodyText"/>
        <w:ind w:left="919" w:right="1057"/>
        <w:jc w:val="both"/>
      </w:pPr>
      <w:r>
        <w:t>The Authority may apply to the Secretary of State for approval in the event of the Forum rejecting a proposal or approving it subject to modifications that are not acceptable to the Authority.</w:t>
      </w:r>
      <w:r w:rsidRPr="00766D2B">
        <w:t xml:space="preserve"> </w:t>
      </w:r>
    </w:p>
    <w:p w14:paraId="52BFCB94" w14:textId="77777777" w:rsidR="006D724E" w:rsidRPr="00540994" w:rsidRDefault="006D724E">
      <w:pPr>
        <w:pStyle w:val="BodyText"/>
        <w:spacing w:before="4"/>
      </w:pPr>
    </w:p>
    <w:p w14:paraId="52BFCB95" w14:textId="77777777" w:rsidR="006D724E" w:rsidRDefault="009F37FD" w:rsidP="006D724E">
      <w:pPr>
        <w:pStyle w:val="Heading1"/>
        <w:numPr>
          <w:ilvl w:val="1"/>
          <w:numId w:val="13"/>
        </w:numPr>
        <w:tabs>
          <w:tab w:val="left" w:pos="1637"/>
          <w:tab w:val="left" w:pos="1639"/>
        </w:tabs>
      </w:pPr>
      <w:r>
        <w:t>Delegation of Powers to the</w:t>
      </w:r>
      <w:r>
        <w:rPr>
          <w:spacing w:val="-5"/>
        </w:rPr>
        <w:t xml:space="preserve"> </w:t>
      </w:r>
      <w:r>
        <w:t>Headteacher</w:t>
      </w:r>
    </w:p>
    <w:p w14:paraId="52BFCB96" w14:textId="77777777" w:rsidR="006D724E" w:rsidRDefault="009F37FD" w:rsidP="005C06CF">
      <w:pPr>
        <w:pStyle w:val="BodyText"/>
        <w:tabs>
          <w:tab w:val="left" w:pos="10490"/>
        </w:tabs>
        <w:ind w:left="917" w:right="1057"/>
        <w:jc w:val="both"/>
      </w:pPr>
      <w:r>
        <w:t>Approval of the annual budget is the responsibility of the governing body. The approval of the budget should be recorded in the minutes of the governing body along with the total budgeted expenditure.</w:t>
      </w:r>
    </w:p>
    <w:p w14:paraId="52BFCB97" w14:textId="77777777" w:rsidR="006D724E" w:rsidRPr="00540994" w:rsidRDefault="006D724E" w:rsidP="005C06CF">
      <w:pPr>
        <w:pStyle w:val="BodyText"/>
        <w:spacing w:before="3"/>
        <w:ind w:right="1057"/>
        <w:jc w:val="both"/>
      </w:pPr>
    </w:p>
    <w:p w14:paraId="52BFCB98" w14:textId="77777777" w:rsidR="006D724E" w:rsidRPr="00D866CC" w:rsidRDefault="009F37FD" w:rsidP="005C06CF">
      <w:pPr>
        <w:pStyle w:val="BodyText"/>
        <w:ind w:left="919" w:right="1057"/>
        <w:jc w:val="both"/>
      </w:pPr>
      <w:r w:rsidRPr="00D866CC">
        <w:t>The governing body of each school should consider the extent to which it wishes to delegate its financial powers to the headteacher. The governing body should ensure that any powers that are delegated to the headteacher are recorded in the minutes and included in the school's procedural manual.</w:t>
      </w:r>
    </w:p>
    <w:p w14:paraId="52BFCB99" w14:textId="77777777" w:rsidR="006D724E" w:rsidRPr="00540994" w:rsidRDefault="006D724E" w:rsidP="005C06CF">
      <w:pPr>
        <w:pStyle w:val="BodyText"/>
        <w:spacing w:before="3"/>
        <w:ind w:right="1057"/>
        <w:jc w:val="both"/>
      </w:pPr>
    </w:p>
    <w:p w14:paraId="52BFCB9A" w14:textId="77777777" w:rsidR="006D724E" w:rsidRDefault="009F37FD" w:rsidP="005C06CF">
      <w:pPr>
        <w:pStyle w:val="BodyText"/>
        <w:ind w:left="917" w:right="1057"/>
        <w:jc w:val="both"/>
      </w:pPr>
      <w:r w:rsidRPr="00D866CC">
        <w:t xml:space="preserve">The governing body must determine the extent of delegated financial powers to the head teacher </w:t>
      </w:r>
      <w:r>
        <w:t>whatever level of delegation is identified, the governing body must still ensure the requirements for purchasing, tendering and contracts are still follo</w:t>
      </w:r>
      <w:r w:rsidRPr="00896D21">
        <w:t xml:space="preserve">wed. </w:t>
      </w:r>
      <w:r w:rsidRPr="0086554C">
        <w:t>(see Section 2.10).</w:t>
      </w:r>
    </w:p>
    <w:p w14:paraId="52BFCB9B" w14:textId="77777777" w:rsidR="006D724E" w:rsidRPr="00540994" w:rsidRDefault="006D724E">
      <w:pPr>
        <w:pStyle w:val="BodyText"/>
        <w:spacing w:before="5"/>
      </w:pPr>
    </w:p>
    <w:p w14:paraId="52BFCB9C" w14:textId="77777777" w:rsidR="006D724E" w:rsidRDefault="009F37FD" w:rsidP="006D724E">
      <w:pPr>
        <w:pStyle w:val="Heading1"/>
        <w:numPr>
          <w:ilvl w:val="1"/>
          <w:numId w:val="13"/>
        </w:numPr>
        <w:tabs>
          <w:tab w:val="left" w:pos="1637"/>
          <w:tab w:val="left" w:pos="1639"/>
        </w:tabs>
      </w:pPr>
      <w:r>
        <w:t>Maintenance of</w:t>
      </w:r>
      <w:r>
        <w:rPr>
          <w:spacing w:val="-2"/>
        </w:rPr>
        <w:t xml:space="preserve"> </w:t>
      </w:r>
      <w:r>
        <w:t>Schools</w:t>
      </w:r>
    </w:p>
    <w:p w14:paraId="39184C0E" w14:textId="77777777" w:rsidR="00540994" w:rsidRDefault="009F37FD" w:rsidP="005C06CF">
      <w:pPr>
        <w:pStyle w:val="BodyText"/>
        <w:spacing w:before="73"/>
        <w:ind w:left="919" w:right="998"/>
        <w:jc w:val="both"/>
      </w:pPr>
      <w:r>
        <w:t>The Local Authority is responsible for maintaining the schools covered by the scheme, and this includes the duty of defraying all the expenses of maintaining them (except in the case of a voluntary school where some of the expenses are, by statute, payable by the governing body). Part of the way an authority maintains schools is through the funding system put in place under sections 45 to 53 of the School Standards and Framework Act</w:t>
      </w:r>
      <w:r>
        <w:rPr>
          <w:spacing w:val="-13"/>
        </w:rPr>
        <w:t xml:space="preserve"> </w:t>
      </w:r>
      <w:r>
        <w:t>1998.</w:t>
      </w:r>
    </w:p>
    <w:p w14:paraId="1D66E68B" w14:textId="77777777" w:rsidR="00540994" w:rsidRDefault="00540994" w:rsidP="005C06CF">
      <w:pPr>
        <w:pStyle w:val="BodyText"/>
        <w:spacing w:before="73"/>
        <w:ind w:left="919" w:right="998"/>
        <w:jc w:val="both"/>
      </w:pPr>
    </w:p>
    <w:p w14:paraId="0FA71EAB" w14:textId="77777777" w:rsidR="00540994" w:rsidRDefault="00540994" w:rsidP="005C06CF">
      <w:pPr>
        <w:pStyle w:val="BodyText"/>
        <w:spacing w:before="73"/>
        <w:ind w:left="919" w:right="998"/>
        <w:jc w:val="both"/>
      </w:pPr>
    </w:p>
    <w:p w14:paraId="52BFCBC5" w14:textId="742A7F69" w:rsidR="006D724E" w:rsidRPr="005C06CF" w:rsidRDefault="009F37FD" w:rsidP="005C06CF">
      <w:pPr>
        <w:pStyle w:val="BodyText"/>
        <w:spacing w:before="73"/>
        <w:ind w:left="919" w:right="998"/>
        <w:jc w:val="both"/>
      </w:pPr>
      <w:r>
        <w:rPr>
          <w:noProof/>
          <w:sz w:val="20"/>
          <w:lang w:bidi="ar-SA"/>
        </w:rPr>
        <mc:AlternateContent>
          <mc:Choice Requires="wps">
            <w:drawing>
              <wp:inline distT="0" distB="0" distL="0" distR="0" wp14:anchorId="52BFD15E" wp14:editId="6128D59C">
                <wp:extent cx="6155690" cy="289560"/>
                <wp:effectExtent l="0" t="0" r="0" b="0"/>
                <wp:docPr id="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FD167" w14:textId="77777777" w:rsidR="009C672B" w:rsidRDefault="009C672B">
                            <w:pPr>
                              <w:tabs>
                                <w:tab w:val="left" w:pos="749"/>
                              </w:tabs>
                              <w:spacing w:line="407" w:lineRule="exact"/>
                              <w:ind w:left="28"/>
                              <w:rPr>
                                <w:b/>
                                <w:sz w:val="36"/>
                              </w:rPr>
                            </w:pPr>
                            <w:bookmarkStart w:id="1" w:name="2._Financial_Controls"/>
                            <w:bookmarkEnd w:id="1"/>
                            <w:r>
                              <w:rPr>
                                <w:b/>
                                <w:sz w:val="36"/>
                              </w:rPr>
                              <w:t>2.</w:t>
                            </w:r>
                            <w:r>
                              <w:rPr>
                                <w:b/>
                                <w:sz w:val="36"/>
                              </w:rPr>
                              <w:tab/>
                              <w:t>Financial</w:t>
                            </w:r>
                            <w:r>
                              <w:rPr>
                                <w:b/>
                                <w:spacing w:val="-1"/>
                                <w:sz w:val="36"/>
                              </w:rPr>
                              <w:t xml:space="preserve"> </w:t>
                            </w:r>
                            <w:r>
                              <w:rPr>
                                <w:b/>
                                <w:sz w:val="36"/>
                              </w:rPr>
                              <w:t>Controls</w:t>
                            </w:r>
                          </w:p>
                        </w:txbxContent>
                      </wps:txbx>
                      <wps:bodyPr rot="0" vert="horz" wrap="square" lIns="0" tIns="0" rIns="0" bIns="0" anchor="t" anchorCtr="0" upright="1"/>
                    </wps:wsp>
                  </a:graphicData>
                </a:graphic>
              </wp:inline>
            </w:drawing>
          </mc:Choice>
          <mc:Fallback>
            <w:pict>
              <v:shape w14:anchorId="52BFD15E" id="Text Box 24" o:spid="_x0000_s1027" type="#_x0000_t202" style="width:484.7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" stroked="f">
                <v:textbox inset="0,0,0,0">
                  <w:txbxContent>
                    <w:p w14:paraId="52BFD167" w14:textId="77777777" w:rsidR="009C672B" w:rsidRDefault="009C672B">
                      <w:pPr>
                        <w:tabs>
                          <w:tab w:val="left" w:pos="749"/>
                        </w:tabs>
                        <w:spacing w:line="407" w:lineRule="exact"/>
                        <w:ind w:left="28"/>
                        <w:rPr>
                          <w:b/>
                          <w:sz w:val="36"/>
                        </w:rPr>
                      </w:pPr>
                      <w:bookmarkStart w:id="2" w:name="2._Financial_Controls"/>
                      <w:bookmarkEnd w:id="2"/>
                      <w:r>
                        <w:rPr>
                          <w:b/>
                          <w:sz w:val="36"/>
                        </w:rPr>
                        <w:t>2.</w:t>
                      </w:r>
                      <w:r>
                        <w:rPr>
                          <w:b/>
                          <w:sz w:val="36"/>
                        </w:rPr>
                        <w:tab/>
                        <w:t>Financial</w:t>
                      </w:r>
                      <w:r>
                        <w:rPr>
                          <w:b/>
                          <w:spacing w:val="-1"/>
                          <w:sz w:val="36"/>
                        </w:rPr>
                        <w:t xml:space="preserve"> </w:t>
                      </w:r>
                      <w:r>
                        <w:rPr>
                          <w:b/>
                          <w:sz w:val="36"/>
                        </w:rPr>
                        <w:t>Controls</w:t>
                      </w:r>
                    </w:p>
                  </w:txbxContent>
                </v:textbox>
                <w10:anchorlock/>
              </v:shape>
            </w:pict>
          </mc:Fallback>
        </mc:AlternateContent>
      </w:r>
    </w:p>
    <w:p w14:paraId="52BFCBC6" w14:textId="77777777" w:rsidR="006D724E" w:rsidRDefault="006D724E">
      <w:pPr>
        <w:pStyle w:val="BodyText"/>
        <w:spacing w:before="3"/>
        <w:rPr>
          <w:sz w:val="13"/>
        </w:rPr>
      </w:pPr>
    </w:p>
    <w:p w14:paraId="52BFCBC7" w14:textId="77777777" w:rsidR="006D724E" w:rsidRPr="00071532" w:rsidRDefault="009F37FD" w:rsidP="005C06CF">
      <w:pPr>
        <w:pStyle w:val="ListParagraph"/>
        <w:numPr>
          <w:ilvl w:val="1"/>
          <w:numId w:val="11"/>
        </w:numPr>
        <w:tabs>
          <w:tab w:val="left" w:pos="1637"/>
          <w:tab w:val="left" w:pos="1639"/>
        </w:tabs>
        <w:spacing w:before="92"/>
        <w:jc w:val="both"/>
        <w:rPr>
          <w:b/>
          <w:sz w:val="28"/>
        </w:rPr>
      </w:pPr>
      <w:r w:rsidRPr="00071532">
        <w:rPr>
          <w:b/>
          <w:sz w:val="28"/>
        </w:rPr>
        <w:t>General</w:t>
      </w:r>
      <w:r w:rsidRPr="00071532">
        <w:rPr>
          <w:b/>
          <w:spacing w:val="-2"/>
          <w:sz w:val="28"/>
        </w:rPr>
        <w:t xml:space="preserve"> </w:t>
      </w:r>
      <w:r w:rsidRPr="00071532">
        <w:rPr>
          <w:b/>
          <w:sz w:val="28"/>
        </w:rPr>
        <w:t>Procedures</w:t>
      </w:r>
    </w:p>
    <w:p w14:paraId="52BFCBC8" w14:textId="77777777" w:rsidR="006D724E" w:rsidRPr="00193092" w:rsidRDefault="006D724E" w:rsidP="005C06CF">
      <w:pPr>
        <w:pStyle w:val="BodyText"/>
        <w:spacing w:before="7"/>
        <w:jc w:val="both"/>
      </w:pPr>
    </w:p>
    <w:p w14:paraId="52BFCBC9" w14:textId="77777777" w:rsidR="006D724E" w:rsidRPr="0086554C" w:rsidRDefault="009F37FD" w:rsidP="005C06CF">
      <w:pPr>
        <w:pStyle w:val="ListParagraph"/>
        <w:numPr>
          <w:ilvl w:val="2"/>
          <w:numId w:val="11"/>
        </w:numPr>
        <w:tabs>
          <w:tab w:val="left" w:pos="1639"/>
        </w:tabs>
        <w:jc w:val="both"/>
        <w:rPr>
          <w:b/>
        </w:rPr>
      </w:pPr>
      <w:r w:rsidRPr="0086554C">
        <w:rPr>
          <w:b/>
        </w:rPr>
        <w:t>Application of Financial Controls to</w:t>
      </w:r>
      <w:r w:rsidRPr="0086554C">
        <w:rPr>
          <w:b/>
          <w:spacing w:val="-2"/>
        </w:rPr>
        <w:t xml:space="preserve"> </w:t>
      </w:r>
      <w:r w:rsidRPr="0086554C">
        <w:rPr>
          <w:b/>
        </w:rPr>
        <w:t>Schools</w:t>
      </w:r>
    </w:p>
    <w:p w14:paraId="52BFCBCA" w14:textId="77777777" w:rsidR="006D724E" w:rsidRPr="0086554C" w:rsidRDefault="009F37FD" w:rsidP="005C06CF">
      <w:pPr>
        <w:pStyle w:val="BodyText"/>
        <w:spacing w:before="1"/>
        <w:ind w:left="919" w:right="1060"/>
        <w:jc w:val="both"/>
      </w:pPr>
      <w:r w:rsidRPr="008874D5">
        <w:t>Schools shall manage their delegated budgets in accordance with the Authority’s financial regulations and more specifically the Financial Regulations for Schools.  Where there is a conflict between the provisions of the scheme and the Financial Regulations for Schools</w:t>
      </w:r>
      <w:r w:rsidRPr="0086554C">
        <w:t xml:space="preserve"> the scheme shall take precedence.</w:t>
      </w:r>
    </w:p>
    <w:p w14:paraId="52BFCBCB" w14:textId="77777777" w:rsidR="006D724E" w:rsidRPr="0086554C" w:rsidRDefault="006D724E">
      <w:pPr>
        <w:pStyle w:val="BodyText"/>
        <w:spacing w:before="7"/>
      </w:pPr>
    </w:p>
    <w:p w14:paraId="52BFCBCC" w14:textId="010E33F2" w:rsidR="006D724E" w:rsidRPr="0086554C" w:rsidRDefault="00A314CE" w:rsidP="006D724E">
      <w:pPr>
        <w:pStyle w:val="ListParagraph"/>
        <w:numPr>
          <w:ilvl w:val="2"/>
          <w:numId w:val="11"/>
        </w:numPr>
        <w:tabs>
          <w:tab w:val="left" w:pos="1639"/>
        </w:tabs>
        <w:rPr>
          <w:b/>
        </w:rPr>
      </w:pPr>
      <w:r>
        <w:rPr>
          <w:b/>
        </w:rPr>
        <w:t>Provision of Financial Information and R</w:t>
      </w:r>
      <w:r w:rsidR="009F37FD" w:rsidRPr="0086554C">
        <w:rPr>
          <w:b/>
        </w:rPr>
        <w:t>eports</w:t>
      </w:r>
    </w:p>
    <w:p w14:paraId="6B38D6DA" w14:textId="17029E89" w:rsidR="005C06CF" w:rsidRDefault="009F37FD" w:rsidP="005C06CF">
      <w:pPr>
        <w:pStyle w:val="BodyText"/>
        <w:spacing w:before="1"/>
        <w:ind w:left="919" w:right="1060"/>
        <w:jc w:val="both"/>
      </w:pPr>
      <w:r w:rsidRPr="008874D5">
        <w:t xml:space="preserve">The Authority reserves the right to request financial monitoring information from </w:t>
      </w:r>
      <w:r w:rsidR="006761DE">
        <w:t>m</w:t>
      </w:r>
      <w:r w:rsidRPr="008874D5">
        <w:t xml:space="preserve">aintained </w:t>
      </w:r>
      <w:r w:rsidR="006761DE">
        <w:t>s</w:t>
      </w:r>
      <w:r w:rsidRPr="008874D5">
        <w:t>chools, as they are a significant element of the Authority’s accounts.  This should no</w:t>
      </w:r>
      <w:r w:rsidRPr="0086554C">
        <w:t>t be more than once every</w:t>
      </w:r>
      <w:r>
        <w:t xml:space="preserve"> three months unless we have notified the school in writing that in the Authority’s view the school’s financial position requ</w:t>
      </w:r>
      <w:r w:rsidR="005C06CF">
        <w:t>ires more frequent submission.</w:t>
      </w:r>
    </w:p>
    <w:p w14:paraId="52BFCBCE" w14:textId="77777777" w:rsidR="006D724E" w:rsidRDefault="006D724E" w:rsidP="005C06CF">
      <w:pPr>
        <w:pStyle w:val="BodyText"/>
        <w:spacing w:before="1"/>
        <w:ind w:left="919" w:right="1060"/>
        <w:jc w:val="both"/>
      </w:pPr>
    </w:p>
    <w:p w14:paraId="52BFCBCF" w14:textId="3927D281" w:rsidR="006D724E" w:rsidRPr="00D866CC" w:rsidRDefault="009F37FD" w:rsidP="005C06CF">
      <w:pPr>
        <w:pStyle w:val="BodyText"/>
        <w:spacing w:before="1"/>
        <w:ind w:left="919" w:right="1060"/>
        <w:jc w:val="both"/>
      </w:pPr>
      <w:r w:rsidRPr="00D866CC">
        <w:t>The Authority has implemented a requirement for termly financial monitoring information based on a specified timescale and format however schools should consider the</w:t>
      </w:r>
      <w:r w:rsidR="006761DE">
        <w:t xml:space="preserve"> reporting requirements of the g</w:t>
      </w:r>
      <w:r w:rsidRPr="00D866CC">
        <w:t xml:space="preserve">overning </w:t>
      </w:r>
      <w:r w:rsidR="006761DE">
        <w:t>b</w:t>
      </w:r>
      <w:r w:rsidRPr="00D866CC">
        <w:t>ody where more frequ</w:t>
      </w:r>
      <w:r w:rsidR="006761DE">
        <w:t>ent reports may be appropriate.</w:t>
      </w:r>
      <w:r w:rsidRPr="00D866CC">
        <w:t xml:space="preserve">  The Authority may r</w:t>
      </w:r>
      <w:r w:rsidR="006761DE">
        <w:t>equire monthly monitoring from s</w:t>
      </w:r>
      <w:r w:rsidRPr="00D866CC">
        <w:t>chools where the financial position may be a cause for concern</w:t>
      </w:r>
      <w:r w:rsidR="005C06CF">
        <w:t>.</w:t>
      </w:r>
    </w:p>
    <w:p w14:paraId="52BFCBD0" w14:textId="77777777" w:rsidR="006D724E" w:rsidRPr="00D866CC" w:rsidRDefault="006D724E" w:rsidP="006D724E">
      <w:pPr>
        <w:pStyle w:val="BodyText"/>
        <w:spacing w:before="1" w:line="264" w:lineRule="auto"/>
        <w:ind w:left="917" w:right="1123"/>
      </w:pPr>
    </w:p>
    <w:p w14:paraId="52BFCBD1" w14:textId="2FCF7083" w:rsidR="006D724E" w:rsidRDefault="009F37FD" w:rsidP="005C06CF">
      <w:pPr>
        <w:pStyle w:val="BodyText"/>
        <w:spacing w:before="1"/>
        <w:ind w:left="919" w:right="1060"/>
        <w:jc w:val="both"/>
      </w:pPr>
      <w:r w:rsidRPr="00D866CC">
        <w:t>Each school shall submit monthly reports in relation to Value Added Tax</w:t>
      </w:r>
      <w:r w:rsidR="006761DE">
        <w:t xml:space="preserve"> </w:t>
      </w:r>
      <w:r w:rsidRPr="00D866CC">
        <w:t>/</w:t>
      </w:r>
      <w:r w:rsidR="006761DE">
        <w:t xml:space="preserve"> </w:t>
      </w:r>
      <w:r w:rsidRPr="00D866CC">
        <w:t>Income Tax, Bank reconciliation in a format specified by the Authority, along with accompanying bank statements may also be required depending on the financial health of the school.</w:t>
      </w:r>
    </w:p>
    <w:p w14:paraId="52BFCBD3" w14:textId="77777777" w:rsidR="006D724E" w:rsidRDefault="006D724E">
      <w:pPr>
        <w:pStyle w:val="BodyText"/>
        <w:spacing w:before="1" w:line="264" w:lineRule="auto"/>
        <w:ind w:left="917" w:right="1123"/>
      </w:pPr>
    </w:p>
    <w:p w14:paraId="52BFCBD4" w14:textId="13F3A661" w:rsidR="006D724E" w:rsidRPr="008874D5" w:rsidRDefault="009F37FD" w:rsidP="006D724E">
      <w:pPr>
        <w:pStyle w:val="Heading3"/>
        <w:numPr>
          <w:ilvl w:val="2"/>
          <w:numId w:val="11"/>
        </w:numPr>
        <w:tabs>
          <w:tab w:val="left" w:pos="1639"/>
        </w:tabs>
        <w:ind w:right="0"/>
        <w:rPr>
          <w:b/>
        </w:rPr>
      </w:pPr>
      <w:r w:rsidRPr="00896D21">
        <w:rPr>
          <w:b/>
        </w:rPr>
        <w:t xml:space="preserve">Payment of </w:t>
      </w:r>
      <w:r w:rsidR="00A314CE">
        <w:rPr>
          <w:b/>
        </w:rPr>
        <w:t>S</w:t>
      </w:r>
      <w:r w:rsidRPr="00896D21">
        <w:rPr>
          <w:b/>
        </w:rPr>
        <w:t>alaries and</w:t>
      </w:r>
      <w:r w:rsidRPr="00896D21">
        <w:rPr>
          <w:b/>
          <w:spacing w:val="-1"/>
        </w:rPr>
        <w:t xml:space="preserve"> </w:t>
      </w:r>
      <w:r w:rsidR="00A314CE">
        <w:rPr>
          <w:b/>
        </w:rPr>
        <w:t>B</w:t>
      </w:r>
      <w:r w:rsidRPr="00896D21">
        <w:rPr>
          <w:b/>
        </w:rPr>
        <w:t>ills</w:t>
      </w:r>
    </w:p>
    <w:p w14:paraId="52BFCBD5" w14:textId="77777777" w:rsidR="006D724E" w:rsidRPr="008874D5" w:rsidRDefault="009F37FD" w:rsidP="005C06CF">
      <w:pPr>
        <w:pStyle w:val="BodyText"/>
        <w:spacing w:before="1"/>
        <w:ind w:left="919" w:right="1060"/>
        <w:jc w:val="both"/>
      </w:pPr>
      <w:r w:rsidRPr="0086554C">
        <w:t>All schools within the scheme shall have bank accounts into which proportions of their delegated budgets will be paid at regular intervals (see section 3</w:t>
      </w:r>
      <w:r w:rsidRPr="00896D21">
        <w:t>).  Schools will therefore be responsible for authorising invoices for payment and making payment</w:t>
      </w:r>
      <w:r w:rsidRPr="008874D5">
        <w:t xml:space="preserve"> from their bank accounts.  Guidance on the payment of invoices is included in the Authority’s Financial Regulations for Schools.</w:t>
      </w:r>
    </w:p>
    <w:p w14:paraId="52BFCBD6" w14:textId="77777777" w:rsidR="006D724E" w:rsidRPr="0086554C" w:rsidRDefault="006D724E" w:rsidP="005C06CF">
      <w:pPr>
        <w:pStyle w:val="BodyText"/>
        <w:spacing w:before="1"/>
        <w:ind w:left="919" w:right="1060"/>
        <w:jc w:val="both"/>
      </w:pPr>
    </w:p>
    <w:p w14:paraId="52BFCBD8" w14:textId="1981C88F" w:rsidR="006D724E" w:rsidRPr="0086554C" w:rsidRDefault="009F37FD" w:rsidP="005C06CF">
      <w:pPr>
        <w:pStyle w:val="BodyText"/>
        <w:ind w:left="919" w:right="1060"/>
        <w:jc w:val="both"/>
      </w:pPr>
      <w:r w:rsidRPr="0086554C">
        <w:t xml:space="preserve">Schools may make their own arrangements for the payment of salaries and </w:t>
      </w:r>
      <w:proofErr w:type="gramStart"/>
      <w:r w:rsidRPr="0086554C">
        <w:t>wages</w:t>
      </w:r>
      <w:proofErr w:type="gramEnd"/>
      <w:r w:rsidRPr="0086554C">
        <w:t xml:space="preserve"> or they may use the Authority's payroll service.</w:t>
      </w:r>
      <w:r w:rsidR="00BC34C3">
        <w:t xml:space="preserve">  </w:t>
      </w:r>
      <w:r w:rsidRPr="0086554C">
        <w:t>In either case, the arrangements must adhere to the</w:t>
      </w:r>
      <w:r w:rsidR="005C06CF">
        <w:t xml:space="preserve"> </w:t>
      </w:r>
      <w:r w:rsidRPr="0086554C">
        <w:t>Authority’s control requirements.  Schools that choose to use the Authority's payroll service must comply with procedural instructions, including timetables provided by the Authority relating to the payment of salaries and wages.</w:t>
      </w:r>
    </w:p>
    <w:p w14:paraId="52BFCBD9" w14:textId="77777777" w:rsidR="006D724E" w:rsidRPr="00896D21" w:rsidRDefault="006D724E" w:rsidP="005C06CF">
      <w:pPr>
        <w:pStyle w:val="BodyText"/>
        <w:spacing w:before="1"/>
        <w:ind w:left="919" w:right="1060"/>
        <w:jc w:val="both"/>
      </w:pPr>
    </w:p>
    <w:p w14:paraId="52BFCBDA" w14:textId="01DC3E76" w:rsidR="006D724E" w:rsidRDefault="009F37FD" w:rsidP="005C06CF">
      <w:pPr>
        <w:pStyle w:val="BodyText"/>
        <w:spacing w:before="1"/>
        <w:ind w:left="919" w:right="1060"/>
        <w:jc w:val="both"/>
      </w:pPr>
      <w:r w:rsidRPr="0086554C">
        <w:t xml:space="preserve">If any maintained </w:t>
      </w:r>
      <w:r w:rsidR="00BC34C3">
        <w:t>schools use a p</w:t>
      </w:r>
      <w:r w:rsidRPr="0086554C">
        <w:t xml:space="preserve">ayroll provider other than the Authority </w:t>
      </w:r>
      <w:proofErr w:type="gramStart"/>
      <w:r w:rsidRPr="0086554C">
        <w:t>service</w:t>
      </w:r>
      <w:proofErr w:type="gramEnd"/>
      <w:r w:rsidRPr="0086554C">
        <w:t xml:space="preserve"> then they are required to submit staffing cost details </w:t>
      </w:r>
      <w:proofErr w:type="gramStart"/>
      <w:r w:rsidRPr="0086554C">
        <w:t>on a monthly basis</w:t>
      </w:r>
      <w:proofErr w:type="gramEnd"/>
      <w:r w:rsidRPr="0086554C">
        <w:t>.  The Authority can provide a template for the provision of the data if required.</w:t>
      </w:r>
    </w:p>
    <w:p w14:paraId="52BFCBDC" w14:textId="77777777" w:rsidR="006D724E" w:rsidRPr="00317112" w:rsidRDefault="006D724E">
      <w:pPr>
        <w:pStyle w:val="BodyText"/>
        <w:spacing w:before="3"/>
        <w:rPr>
          <w:sz w:val="24"/>
          <w:highlight w:val="yellow"/>
        </w:rPr>
      </w:pPr>
    </w:p>
    <w:p w14:paraId="52BFCBDD" w14:textId="77777777" w:rsidR="006D724E" w:rsidRPr="00442876" w:rsidRDefault="009F37FD" w:rsidP="006D724E">
      <w:pPr>
        <w:pStyle w:val="Heading3"/>
        <w:numPr>
          <w:ilvl w:val="2"/>
          <w:numId w:val="11"/>
        </w:numPr>
        <w:tabs>
          <w:tab w:val="left" w:pos="1639"/>
        </w:tabs>
        <w:ind w:right="0"/>
        <w:rPr>
          <w:b/>
        </w:rPr>
      </w:pPr>
      <w:r w:rsidRPr="00442876">
        <w:rPr>
          <w:b/>
        </w:rPr>
        <w:t>Control of Assets</w:t>
      </w:r>
    </w:p>
    <w:p w14:paraId="52BFCBDE" w14:textId="45CEFE42" w:rsidR="006D724E" w:rsidRPr="00F678B3" w:rsidRDefault="00A314CE" w:rsidP="006D724E">
      <w:pPr>
        <w:pStyle w:val="ListParagraph"/>
        <w:numPr>
          <w:ilvl w:val="0"/>
          <w:numId w:val="10"/>
        </w:numPr>
        <w:tabs>
          <w:tab w:val="left" w:pos="1637"/>
          <w:tab w:val="left" w:pos="1639"/>
        </w:tabs>
        <w:rPr>
          <w:b/>
        </w:rPr>
      </w:pPr>
      <w:r>
        <w:rPr>
          <w:b/>
        </w:rPr>
        <w:t>Security of A</w:t>
      </w:r>
      <w:r w:rsidR="009F37FD" w:rsidRPr="00F678B3">
        <w:rPr>
          <w:b/>
        </w:rPr>
        <w:t>ssets -</w:t>
      </w:r>
      <w:r w:rsidR="009F37FD" w:rsidRPr="00F678B3">
        <w:rPr>
          <w:b/>
          <w:spacing w:val="3"/>
        </w:rPr>
        <w:t xml:space="preserve"> </w:t>
      </w:r>
      <w:r>
        <w:rPr>
          <w:b/>
        </w:rPr>
        <w:t>I</w:t>
      </w:r>
      <w:r w:rsidR="009F37FD" w:rsidRPr="00F678B3">
        <w:rPr>
          <w:b/>
        </w:rPr>
        <w:t>nventories</w:t>
      </w:r>
    </w:p>
    <w:p w14:paraId="52BFCBDF" w14:textId="77777777" w:rsidR="006D724E" w:rsidRPr="00DF4746" w:rsidRDefault="009F37FD" w:rsidP="005C06CF">
      <w:pPr>
        <w:pStyle w:val="BodyText"/>
        <w:ind w:left="917" w:right="1013"/>
        <w:jc w:val="both"/>
      </w:pPr>
      <w:r w:rsidRPr="00DF4746">
        <w:t>Schools should have adequate arrangements for ensuring that assets owned by the school are securely held so that there is no unnecessary risk of theft. An important tool in the prevention of loss of assets is the use of an inventory and therefore all schools must keep up to date inventories.</w:t>
      </w:r>
    </w:p>
    <w:p w14:paraId="52BFCBE0" w14:textId="77777777" w:rsidR="006D724E" w:rsidRPr="00DF4746" w:rsidRDefault="006D724E" w:rsidP="005C06CF">
      <w:pPr>
        <w:pStyle w:val="BodyText"/>
        <w:spacing w:before="3"/>
        <w:jc w:val="both"/>
      </w:pPr>
    </w:p>
    <w:p w14:paraId="52BFCBE1" w14:textId="7954E68B" w:rsidR="006D724E" w:rsidRPr="00DF4746" w:rsidRDefault="009F37FD" w:rsidP="005C06CF">
      <w:pPr>
        <w:pStyle w:val="BodyText"/>
        <w:tabs>
          <w:tab w:val="left" w:pos="10490"/>
          <w:tab w:val="left" w:pos="10632"/>
        </w:tabs>
        <w:spacing w:before="71"/>
        <w:ind w:left="917" w:right="1062"/>
        <w:jc w:val="both"/>
      </w:pPr>
      <w:r w:rsidRPr="00DF4746">
        <w:t xml:space="preserve">Schools must keep a register of assets, whilst schools are free to determine their own arrangements for keeping the register, the register must state the location, make, model and serial number of the item. </w:t>
      </w:r>
      <w:r w:rsidR="00BC34C3">
        <w:t xml:space="preserve"> </w:t>
      </w:r>
      <w:r w:rsidRPr="00DF4746">
        <w:t>Schools are not required to include items of less than £100 on the register, unless the item is a potential risk such as portable and attractive e.g. camera, musical instrument.</w:t>
      </w:r>
    </w:p>
    <w:p w14:paraId="52BFCBE2" w14:textId="77777777" w:rsidR="006D724E" w:rsidRPr="00DF4746" w:rsidRDefault="006D724E" w:rsidP="005C06CF">
      <w:pPr>
        <w:pStyle w:val="BodyText"/>
        <w:spacing w:before="71"/>
        <w:ind w:left="919" w:right="1062"/>
        <w:jc w:val="both"/>
      </w:pPr>
    </w:p>
    <w:p w14:paraId="52BFCBE3" w14:textId="6BC8D9CD" w:rsidR="006D724E" w:rsidRPr="00DF4746" w:rsidRDefault="009F37FD" w:rsidP="005C06CF">
      <w:pPr>
        <w:pStyle w:val="BodyText"/>
        <w:spacing w:before="1"/>
        <w:ind w:left="919" w:right="919"/>
        <w:jc w:val="both"/>
      </w:pPr>
      <w:r w:rsidRPr="00DF4746">
        <w:t xml:space="preserve">Schools are required to maintain an inventory for assets over £1,000 in accordance with the guidance issued by the Authority’s S151 Officer.  Inventory records shall be updated on an on-going basis and submitted to Governors annually for their approval/information.  Information shall be available for inspection by the Authority or its auditors on request.  Schools are free to determine their own arrangements for keeping a register of assets worth less than £1,000.  A physical check of the </w:t>
      </w:r>
      <w:r w:rsidRPr="00DF4746">
        <w:lastRenderedPageBreak/>
        <w:t>inventory is required on an annual basis. Any discrepancies must be reported to the governing body</w:t>
      </w:r>
      <w:r w:rsidR="005C06CF">
        <w:t>.</w:t>
      </w:r>
    </w:p>
    <w:p w14:paraId="52BFCBE4" w14:textId="77777777" w:rsidR="006D724E" w:rsidRPr="00DF4746" w:rsidRDefault="006D724E">
      <w:pPr>
        <w:pStyle w:val="BodyText"/>
        <w:spacing w:before="3"/>
      </w:pPr>
    </w:p>
    <w:p w14:paraId="52BFCBE5" w14:textId="20A8B26C" w:rsidR="006D724E" w:rsidRPr="00DF4746" w:rsidRDefault="00B158BB" w:rsidP="006D724E">
      <w:pPr>
        <w:pStyle w:val="ListParagraph"/>
        <w:numPr>
          <w:ilvl w:val="0"/>
          <w:numId w:val="10"/>
        </w:numPr>
        <w:tabs>
          <w:tab w:val="left" w:pos="1637"/>
          <w:tab w:val="left" w:pos="1639"/>
        </w:tabs>
        <w:rPr>
          <w:b/>
        </w:rPr>
      </w:pPr>
      <w:r>
        <w:rPr>
          <w:b/>
        </w:rPr>
        <w:t>Security of A</w:t>
      </w:r>
      <w:r w:rsidR="009F37FD" w:rsidRPr="00DF4746">
        <w:rPr>
          <w:b/>
        </w:rPr>
        <w:t>ssets -</w:t>
      </w:r>
      <w:r w:rsidR="009F37FD" w:rsidRPr="00DF4746">
        <w:rPr>
          <w:b/>
          <w:spacing w:val="3"/>
        </w:rPr>
        <w:t xml:space="preserve"> </w:t>
      </w:r>
      <w:r>
        <w:rPr>
          <w:b/>
        </w:rPr>
        <w:t>S</w:t>
      </w:r>
      <w:r w:rsidR="009F37FD" w:rsidRPr="00DF4746">
        <w:rPr>
          <w:b/>
        </w:rPr>
        <w:t>tocks</w:t>
      </w:r>
    </w:p>
    <w:p w14:paraId="52BFCBE6" w14:textId="69008A0A" w:rsidR="006D724E" w:rsidRPr="00DF4746" w:rsidRDefault="009F37FD" w:rsidP="005C06CF">
      <w:pPr>
        <w:pStyle w:val="BodyText"/>
        <w:tabs>
          <w:tab w:val="left" w:pos="10490"/>
        </w:tabs>
        <w:ind w:left="919" w:right="918"/>
        <w:jc w:val="both"/>
      </w:pPr>
      <w:r w:rsidRPr="00DF4746">
        <w:t>Schools hold stocks of consumables such as statione</w:t>
      </w:r>
      <w:r w:rsidR="00BC34C3">
        <w:t xml:space="preserve">ry, school meals provisions, </w:t>
      </w:r>
      <w:r w:rsidRPr="00DF4746">
        <w:t>cleanin</w:t>
      </w:r>
      <w:r w:rsidR="00BC34C3">
        <w:t>g materials and</w:t>
      </w:r>
      <w:r w:rsidRPr="00DF4746">
        <w:t xml:space="preserve"> uniforms. </w:t>
      </w:r>
      <w:r w:rsidR="00BC34C3">
        <w:t xml:space="preserve"> </w:t>
      </w:r>
      <w:r w:rsidRPr="00DF4746">
        <w:t xml:space="preserve">Generally, these stocks do not warrant a computerised stock system with purchases and issues being recorded. </w:t>
      </w:r>
      <w:r w:rsidR="00BC34C3">
        <w:t xml:space="preserve"> </w:t>
      </w:r>
      <w:r w:rsidRPr="00DF4746">
        <w:t>However, schools should set alternative controls that prevent significant losses and keep records of stocks held.    Stock balance values should be submitted to the Local Authority at year-end and records should be readily available for inspection upon request.</w:t>
      </w:r>
    </w:p>
    <w:p w14:paraId="52BFCBE7" w14:textId="77777777" w:rsidR="006D724E" w:rsidRPr="00193092" w:rsidRDefault="006D724E">
      <w:pPr>
        <w:pStyle w:val="BodyText"/>
        <w:spacing w:before="1"/>
      </w:pPr>
    </w:p>
    <w:p w14:paraId="52BFCBE8" w14:textId="3FA20AAA" w:rsidR="006D724E" w:rsidRPr="00DF4746" w:rsidRDefault="009F37FD" w:rsidP="006D724E">
      <w:pPr>
        <w:pStyle w:val="ListParagraph"/>
        <w:numPr>
          <w:ilvl w:val="0"/>
          <w:numId w:val="10"/>
        </w:numPr>
        <w:tabs>
          <w:tab w:val="left" w:pos="1637"/>
          <w:tab w:val="left" w:pos="1639"/>
        </w:tabs>
        <w:rPr>
          <w:b/>
        </w:rPr>
      </w:pPr>
      <w:r w:rsidRPr="00DF4746">
        <w:rPr>
          <w:b/>
        </w:rPr>
        <w:t>Disposal of</w:t>
      </w:r>
      <w:r w:rsidRPr="00DF4746">
        <w:rPr>
          <w:b/>
          <w:spacing w:val="2"/>
        </w:rPr>
        <w:t xml:space="preserve"> </w:t>
      </w:r>
      <w:r w:rsidR="00B158BB">
        <w:rPr>
          <w:b/>
          <w:spacing w:val="2"/>
        </w:rPr>
        <w:t>A</w:t>
      </w:r>
      <w:r w:rsidRPr="00DF4746">
        <w:rPr>
          <w:b/>
        </w:rPr>
        <w:t>ssets</w:t>
      </w:r>
    </w:p>
    <w:p w14:paraId="52BFCBE9" w14:textId="6AC08CC8" w:rsidR="006D724E" w:rsidRPr="00DF4746" w:rsidRDefault="009F37FD" w:rsidP="005C06CF">
      <w:pPr>
        <w:pStyle w:val="BodyText"/>
        <w:ind w:left="919" w:right="918"/>
        <w:jc w:val="both"/>
      </w:pPr>
      <w:r w:rsidRPr="00DF4746">
        <w:t xml:space="preserve">It is important that proper procedures are in place for dealing with the disposal of assets </w:t>
      </w:r>
      <w:proofErr w:type="gramStart"/>
      <w:r w:rsidRPr="00DF4746">
        <w:t>in order to</w:t>
      </w:r>
      <w:proofErr w:type="gramEnd"/>
      <w:r w:rsidRPr="00DF4746">
        <w:t xml:space="preserve"> ensure that the school receives the maximum benefit from assets when they are no longer of use to the school. </w:t>
      </w:r>
      <w:r w:rsidR="00BC34C3">
        <w:t xml:space="preserve"> </w:t>
      </w:r>
      <w:r w:rsidRPr="00DF4746">
        <w:t>Any disposal of assets should be clearly recorded in the inventor</w:t>
      </w:r>
      <w:r w:rsidR="00BC34C3">
        <w:t>y and signed by either the head</w:t>
      </w:r>
      <w:r w:rsidRPr="00DF4746">
        <w:t xml:space="preserve">teacher (where the governing body have given delegated powers to the head teacher), or by the Chair of Governors. </w:t>
      </w:r>
    </w:p>
    <w:p w14:paraId="52BFCBEA" w14:textId="77777777" w:rsidR="006D724E" w:rsidRPr="00DF4746" w:rsidRDefault="006D724E" w:rsidP="005C06CF">
      <w:pPr>
        <w:pStyle w:val="BodyText"/>
        <w:spacing w:line="264" w:lineRule="auto"/>
        <w:ind w:left="917" w:right="918"/>
        <w:jc w:val="both"/>
      </w:pPr>
    </w:p>
    <w:p w14:paraId="52BFCBEB" w14:textId="7BAD0553" w:rsidR="006D724E" w:rsidRPr="00DF4746" w:rsidRDefault="009F37FD" w:rsidP="005C06CF">
      <w:pPr>
        <w:pStyle w:val="BodyText"/>
        <w:ind w:left="919" w:right="918"/>
        <w:jc w:val="both"/>
      </w:pPr>
      <w:r w:rsidRPr="00DF4746">
        <w:t>It is recommended as good practice for the governing body to be informed of any disposals, and to state in the minutes the reason for disposing of the asset and the amount received from the sale.</w:t>
      </w:r>
    </w:p>
    <w:p w14:paraId="52BFCBEC" w14:textId="77777777" w:rsidR="006D724E" w:rsidRPr="00DF4746" w:rsidRDefault="006D724E" w:rsidP="005C06CF">
      <w:pPr>
        <w:pStyle w:val="BodyText"/>
        <w:spacing w:before="3"/>
      </w:pPr>
    </w:p>
    <w:p w14:paraId="52BFCBED" w14:textId="494BF6CB" w:rsidR="006D724E" w:rsidRPr="00DF4746" w:rsidRDefault="009F37FD" w:rsidP="005C06CF">
      <w:pPr>
        <w:pStyle w:val="BodyText"/>
        <w:spacing w:before="1"/>
        <w:ind w:left="917" w:right="918"/>
        <w:jc w:val="both"/>
      </w:pPr>
      <w:r w:rsidRPr="00DF4746">
        <w:t>Schools will retain the proceeds from asset sales except, where the asset was purchased from non-delegated Local Authority funds (in which case it should be for the Local Authority to decide whether the school should retain the proceeds), or the land concerned is land or buildings forming part of the school premises and is owned by the Local Authority.</w:t>
      </w:r>
    </w:p>
    <w:p w14:paraId="52BFCBEE" w14:textId="77777777" w:rsidR="006D724E" w:rsidRPr="00DF4746" w:rsidRDefault="006D724E" w:rsidP="006D724E">
      <w:pPr>
        <w:pStyle w:val="BodyText"/>
        <w:spacing w:before="1" w:line="264" w:lineRule="auto"/>
        <w:ind w:left="917" w:right="1123"/>
      </w:pPr>
    </w:p>
    <w:p w14:paraId="52BFCBEF" w14:textId="77777777" w:rsidR="006D724E" w:rsidRPr="00DF4746" w:rsidRDefault="009F37FD" w:rsidP="005C06CF">
      <w:pPr>
        <w:pStyle w:val="BodyText"/>
        <w:spacing w:before="1"/>
        <w:ind w:left="919" w:right="919"/>
        <w:jc w:val="both"/>
      </w:pPr>
      <w:r w:rsidRPr="00DF4746">
        <w:t>Where an asset has been purchased with capital grant funding managed by the Authority, (e.g. Capital Grant) the school shall obtain permission from the Authority prior to disposal.  The Authority shall identify any claw back of grant that will be made following the disposal of the asset.</w:t>
      </w:r>
    </w:p>
    <w:p w14:paraId="52BFCBF0" w14:textId="77777777" w:rsidR="006D724E" w:rsidRPr="00DF4746" w:rsidRDefault="006D724E" w:rsidP="005E2C4C">
      <w:pPr>
        <w:pStyle w:val="BodyText"/>
        <w:spacing w:before="3"/>
        <w:jc w:val="both"/>
      </w:pPr>
    </w:p>
    <w:p w14:paraId="52BFCBF1" w14:textId="77E5D801" w:rsidR="006D724E" w:rsidRPr="00DF4746" w:rsidRDefault="009F37FD" w:rsidP="005E2C4C">
      <w:pPr>
        <w:pStyle w:val="BodyText"/>
        <w:ind w:left="919" w:right="919"/>
        <w:jc w:val="both"/>
      </w:pPr>
      <w:r w:rsidRPr="00DF4746">
        <w:t>Before disposal the school should ensure the item is not leased.</w:t>
      </w:r>
      <w:r w:rsidR="00BC34C3">
        <w:t xml:space="preserve"> </w:t>
      </w:r>
      <w:r w:rsidRPr="00DF4746">
        <w:t xml:space="preserve"> If the item is </w:t>
      </w:r>
      <w:proofErr w:type="gramStart"/>
      <w:r w:rsidRPr="00DF4746">
        <w:t>leased</w:t>
      </w:r>
      <w:proofErr w:type="gramEnd"/>
      <w:r w:rsidRPr="00DF4746">
        <w:t xml:space="preserve"> they must seek the approval of the finance company before disposing of the asset.</w:t>
      </w:r>
    </w:p>
    <w:p w14:paraId="52BFCBF2" w14:textId="77777777" w:rsidR="006D724E" w:rsidRPr="00DF4746" w:rsidRDefault="006D724E">
      <w:pPr>
        <w:pStyle w:val="BodyText"/>
      </w:pPr>
    </w:p>
    <w:p w14:paraId="52BFCBF3" w14:textId="7E0773EC" w:rsidR="006D724E" w:rsidRPr="00DF4746" w:rsidRDefault="00F678B3">
      <w:pPr>
        <w:pStyle w:val="BodyText"/>
        <w:tabs>
          <w:tab w:val="left" w:pos="1637"/>
        </w:tabs>
        <w:spacing w:before="1"/>
        <w:ind w:left="917"/>
      </w:pPr>
      <w:r w:rsidRPr="00F678B3">
        <w:rPr>
          <w:b/>
        </w:rPr>
        <w:t>d)</w:t>
      </w:r>
      <w:r w:rsidR="009F37FD" w:rsidRPr="00DF4746">
        <w:rPr>
          <w:b/>
        </w:rPr>
        <w:tab/>
        <w:t>Gifts</w:t>
      </w:r>
    </w:p>
    <w:p w14:paraId="52BFCBF4" w14:textId="77777777" w:rsidR="006D724E" w:rsidRPr="00DF4746" w:rsidRDefault="009F37FD" w:rsidP="005E2C4C">
      <w:pPr>
        <w:pStyle w:val="BodyText"/>
        <w:ind w:left="919" w:right="918"/>
        <w:jc w:val="both"/>
      </w:pPr>
      <w:r w:rsidRPr="00DF4746">
        <w:t xml:space="preserve">Where gifts or benefits in kind of a significant nature are offered by external agencies to school staff, governors as individuals, or generally to the school, it is best practice to ensure a record is kept of the gift and how the gift is to be used for the benefit of the school.  Gifts for the benefit of individuals are not permitted, but gifts can be accepted on behalf of the school.  </w:t>
      </w:r>
    </w:p>
    <w:p w14:paraId="52BFCBF6" w14:textId="77777777" w:rsidR="006D724E" w:rsidRPr="00193092" w:rsidRDefault="006D724E">
      <w:pPr>
        <w:rPr>
          <w:szCs w:val="24"/>
        </w:rPr>
      </w:pPr>
    </w:p>
    <w:p w14:paraId="52BFCBF7" w14:textId="0047EF27" w:rsidR="006D724E" w:rsidRPr="00C96BB2" w:rsidRDefault="009F37FD" w:rsidP="006D724E">
      <w:pPr>
        <w:pStyle w:val="Heading3"/>
        <w:numPr>
          <w:ilvl w:val="2"/>
          <w:numId w:val="11"/>
        </w:numPr>
        <w:tabs>
          <w:tab w:val="left" w:pos="1639"/>
        </w:tabs>
        <w:spacing w:before="1"/>
        <w:ind w:right="0"/>
        <w:rPr>
          <w:b/>
        </w:rPr>
      </w:pPr>
      <w:r w:rsidRPr="00C96BB2">
        <w:rPr>
          <w:b/>
        </w:rPr>
        <w:t>Accounting</w:t>
      </w:r>
      <w:r w:rsidRPr="00C96BB2">
        <w:rPr>
          <w:b/>
          <w:spacing w:val="-3"/>
        </w:rPr>
        <w:t xml:space="preserve"> </w:t>
      </w:r>
      <w:r w:rsidRPr="00C96BB2">
        <w:rPr>
          <w:b/>
        </w:rPr>
        <w:t>Policies (Includ</w:t>
      </w:r>
      <w:r w:rsidR="00B158BB">
        <w:rPr>
          <w:b/>
        </w:rPr>
        <w:t>ing Year-End P</w:t>
      </w:r>
      <w:r w:rsidRPr="00C96BB2">
        <w:rPr>
          <w:b/>
        </w:rPr>
        <w:t>rocedures)</w:t>
      </w:r>
    </w:p>
    <w:p w14:paraId="52BFCBF8" w14:textId="79EBBCBE" w:rsidR="006D724E" w:rsidRPr="00DF4746" w:rsidRDefault="009F37FD" w:rsidP="005E2C4C">
      <w:pPr>
        <w:pStyle w:val="BodyText"/>
        <w:spacing w:before="1"/>
        <w:ind w:left="917" w:right="918"/>
        <w:jc w:val="both"/>
      </w:pPr>
      <w:r w:rsidRPr="00DF4746">
        <w:t>The Authority has a duty to account for the public money that it is spending.  Maintained schools, as part of the Authority, must comply with this requirement.  The Secretary of State expects that the financial arrangements of the scheme will give schools freedom over their individual budgets whilst maintaining proper</w:t>
      </w:r>
      <w:r w:rsidR="005E2C4C">
        <w:t xml:space="preserve"> accounting for public funds.</w:t>
      </w:r>
    </w:p>
    <w:p w14:paraId="52BFCBF9" w14:textId="77777777" w:rsidR="006D724E" w:rsidRPr="00DF4746" w:rsidRDefault="006D724E" w:rsidP="006D724E">
      <w:pPr>
        <w:pStyle w:val="BodyText"/>
        <w:spacing w:before="1"/>
        <w:ind w:left="917" w:right="996"/>
        <w:jc w:val="both"/>
      </w:pPr>
    </w:p>
    <w:p w14:paraId="52BFCBFA" w14:textId="479C8829" w:rsidR="006D724E" w:rsidRPr="00DF4746" w:rsidRDefault="009F37FD" w:rsidP="005E2C4C">
      <w:pPr>
        <w:pStyle w:val="BodyText"/>
        <w:ind w:left="919" w:right="918"/>
        <w:jc w:val="both"/>
      </w:pPr>
      <w:r w:rsidRPr="00DF4746">
        <w:t>The accounting framework, the format of the accounts and the reporting structures are imposed on the Authority.</w:t>
      </w:r>
      <w:r w:rsidR="00BC34C3">
        <w:t xml:space="preserve"> </w:t>
      </w:r>
      <w:r w:rsidRPr="00DF4746">
        <w:t xml:space="preserve"> Schools should therefore follow procedures issued by the Chief Finance Officer (including those issued annual</w:t>
      </w:r>
      <w:r w:rsidR="005E2C4C">
        <w:t xml:space="preserve">ly for the closure of accounts). </w:t>
      </w:r>
      <w:r w:rsidRPr="00DF4746">
        <w:t xml:space="preserve"> The Authority shall issue guidance on accounting policies and procedures which schools shall be required to follow year-end communications</w:t>
      </w:r>
      <w:r w:rsidR="005E2C4C">
        <w:t>.</w:t>
      </w:r>
    </w:p>
    <w:p w14:paraId="52BFCBFB" w14:textId="77777777" w:rsidR="006D724E" w:rsidRPr="00DF4746" w:rsidRDefault="006D724E" w:rsidP="006D724E">
      <w:pPr>
        <w:pStyle w:val="BodyText"/>
        <w:ind w:left="917" w:right="992"/>
        <w:jc w:val="both"/>
      </w:pPr>
    </w:p>
    <w:p w14:paraId="52BFCBFC" w14:textId="77777777" w:rsidR="006D724E" w:rsidRPr="00DF4746" w:rsidRDefault="009F37FD" w:rsidP="005E2C4C">
      <w:pPr>
        <w:pStyle w:val="BodyText"/>
        <w:spacing w:before="71"/>
        <w:ind w:left="919" w:right="919"/>
        <w:jc w:val="both"/>
      </w:pPr>
      <w:r w:rsidRPr="00DF4746">
        <w:t>Schools must submit a Consistent Financial Reporting (CFR) outturn report in accordance with DfES guidance, the deadline will be advised by the Local Authority.</w:t>
      </w:r>
    </w:p>
    <w:p w14:paraId="52BFCBFD" w14:textId="77777777" w:rsidR="006D724E" w:rsidRPr="00DF4746" w:rsidRDefault="006D724E" w:rsidP="005E2C4C">
      <w:pPr>
        <w:pStyle w:val="BodyText"/>
        <w:spacing w:before="3"/>
        <w:jc w:val="both"/>
      </w:pPr>
    </w:p>
    <w:p w14:paraId="52BFCBFE" w14:textId="6FEFFA69" w:rsidR="006D724E" w:rsidRPr="00DF4746" w:rsidRDefault="009F37FD" w:rsidP="005E2C4C">
      <w:pPr>
        <w:pStyle w:val="BodyText"/>
        <w:ind w:left="917" w:right="918"/>
        <w:jc w:val="both"/>
      </w:pPr>
      <w:r w:rsidRPr="00DF4746">
        <w:t xml:space="preserve">Schools holding balances </w:t>
      </w:r>
      <w:proofErr w:type="gramStart"/>
      <w:r w:rsidRPr="00DF4746">
        <w:t>in excess of</w:t>
      </w:r>
      <w:proofErr w:type="gramEnd"/>
      <w:r w:rsidRPr="00DF4746">
        <w:t xml:space="preserve"> the approved balances levels must submit returns in line with the scheme of balances</w:t>
      </w:r>
      <w:r w:rsidR="005E2C4C">
        <w:t>.</w:t>
      </w:r>
    </w:p>
    <w:p w14:paraId="0491D0B6" w14:textId="77777777" w:rsidR="00BC34C3" w:rsidRDefault="00BC34C3" w:rsidP="005E2C4C">
      <w:pPr>
        <w:pStyle w:val="BodyText"/>
        <w:spacing w:before="1"/>
        <w:ind w:left="919"/>
        <w:jc w:val="both"/>
      </w:pPr>
    </w:p>
    <w:p w14:paraId="52BFCC00" w14:textId="77777777" w:rsidR="006D724E" w:rsidRPr="00DF4746" w:rsidRDefault="009F37FD" w:rsidP="005E2C4C">
      <w:pPr>
        <w:pStyle w:val="BodyText"/>
        <w:spacing w:before="1"/>
        <w:ind w:left="919"/>
        <w:jc w:val="both"/>
      </w:pPr>
      <w:r w:rsidRPr="00DF4746">
        <w:t>Schools operating a separate bank account are subject to additional returns.</w:t>
      </w:r>
    </w:p>
    <w:p w14:paraId="52BFCC01" w14:textId="77777777" w:rsidR="006D724E" w:rsidRPr="00C96BB2" w:rsidRDefault="006D724E" w:rsidP="005E2C4C">
      <w:pPr>
        <w:pStyle w:val="BodyText"/>
        <w:ind w:left="919" w:right="992"/>
        <w:jc w:val="both"/>
      </w:pPr>
    </w:p>
    <w:p w14:paraId="52BFCC03" w14:textId="55A2BAED" w:rsidR="006D724E" w:rsidRPr="00C96BB2" w:rsidRDefault="009F37FD" w:rsidP="006D724E">
      <w:pPr>
        <w:pStyle w:val="Heading3"/>
        <w:numPr>
          <w:ilvl w:val="2"/>
          <w:numId w:val="11"/>
        </w:numPr>
        <w:tabs>
          <w:tab w:val="left" w:pos="1639"/>
        </w:tabs>
        <w:spacing w:before="92"/>
        <w:ind w:right="0"/>
        <w:rPr>
          <w:b/>
        </w:rPr>
      </w:pPr>
      <w:r w:rsidRPr="00C96BB2">
        <w:rPr>
          <w:b/>
        </w:rPr>
        <w:lastRenderedPageBreak/>
        <w:t xml:space="preserve">Writing </w:t>
      </w:r>
      <w:r w:rsidR="00B158BB" w:rsidRPr="00C96BB2">
        <w:rPr>
          <w:b/>
        </w:rPr>
        <w:t>off</w:t>
      </w:r>
      <w:r w:rsidRPr="00C96BB2">
        <w:rPr>
          <w:b/>
          <w:spacing w:val="-2"/>
        </w:rPr>
        <w:t xml:space="preserve"> </w:t>
      </w:r>
      <w:r w:rsidRPr="00C96BB2">
        <w:rPr>
          <w:b/>
        </w:rPr>
        <w:t>Debts</w:t>
      </w:r>
    </w:p>
    <w:p w14:paraId="52BFCC04" w14:textId="64E8F64A" w:rsidR="006D724E" w:rsidRPr="00DF4746" w:rsidRDefault="009F37FD" w:rsidP="005E2C4C">
      <w:pPr>
        <w:pStyle w:val="BodyText"/>
        <w:ind w:left="919" w:right="918"/>
        <w:jc w:val="both"/>
      </w:pPr>
      <w:r w:rsidRPr="00DF4746">
        <w:t>Governing Bodies should set out internal procedures for writing off debts outlining who can authorise write-offs, up to what amount.  All write-offs should be detailed in</w:t>
      </w:r>
      <w:r w:rsidR="00BC34C3">
        <w:t xml:space="preserve"> the minutes of the governing b</w:t>
      </w:r>
      <w:r w:rsidRPr="00DF4746">
        <w:t xml:space="preserve">ody.  Governing Bodies may write off debts of up to £ 500 in an individual case. </w:t>
      </w:r>
    </w:p>
    <w:p w14:paraId="52BFCC05" w14:textId="77777777" w:rsidR="006D724E" w:rsidRPr="00DF4746" w:rsidRDefault="006D724E" w:rsidP="005E2C4C">
      <w:pPr>
        <w:pStyle w:val="BodyText"/>
        <w:ind w:left="919" w:right="918"/>
        <w:jc w:val="both"/>
      </w:pPr>
    </w:p>
    <w:p w14:paraId="52BFCC06" w14:textId="48010754" w:rsidR="006D724E" w:rsidRPr="00DF4746" w:rsidRDefault="009F37FD" w:rsidP="005E2C4C">
      <w:pPr>
        <w:pStyle w:val="BodyText"/>
        <w:ind w:left="919" w:right="918"/>
        <w:jc w:val="both"/>
      </w:pPr>
      <w:r w:rsidRPr="00DF4746">
        <w:t xml:space="preserve">Anything </w:t>
      </w:r>
      <w:proofErr w:type="gramStart"/>
      <w:r w:rsidRPr="00DF4746">
        <w:t>in excess of</w:t>
      </w:r>
      <w:proofErr w:type="gramEnd"/>
      <w:r w:rsidRPr="00DF4746">
        <w:t xml:space="preserve"> this amount must be referred to the Local Authority for approval. </w:t>
      </w:r>
      <w:r w:rsidR="00BC34C3">
        <w:t xml:space="preserve"> </w:t>
      </w:r>
      <w:r w:rsidRPr="00DF4746">
        <w:t>Any debt written off which involves a member of staff or a governor must be referred to the Local Authority for approval.</w:t>
      </w:r>
      <w:r w:rsidR="00BC34C3">
        <w:t xml:space="preserve"> </w:t>
      </w:r>
      <w:r w:rsidRPr="00DF4746">
        <w:t xml:space="preserve"> The loss of income involved in writing off the debts will be met from the school budget share.</w:t>
      </w:r>
    </w:p>
    <w:p w14:paraId="52BFCC07" w14:textId="77777777" w:rsidR="006D724E" w:rsidRPr="00193092" w:rsidRDefault="006D724E">
      <w:pPr>
        <w:pStyle w:val="BodyText"/>
        <w:spacing w:before="5"/>
      </w:pPr>
    </w:p>
    <w:p w14:paraId="52BFCC08" w14:textId="77777777" w:rsidR="006D724E" w:rsidRPr="004C3BEF" w:rsidRDefault="009F37FD" w:rsidP="006D724E">
      <w:pPr>
        <w:pStyle w:val="Heading1"/>
        <w:numPr>
          <w:ilvl w:val="1"/>
          <w:numId w:val="11"/>
        </w:numPr>
        <w:tabs>
          <w:tab w:val="left" w:pos="1637"/>
          <w:tab w:val="left" w:pos="1639"/>
        </w:tabs>
      </w:pPr>
      <w:r w:rsidRPr="004C3BEF">
        <w:t>Basis of</w:t>
      </w:r>
      <w:r w:rsidRPr="004C3BEF">
        <w:rPr>
          <w:spacing w:val="1"/>
        </w:rPr>
        <w:t xml:space="preserve"> </w:t>
      </w:r>
      <w:r w:rsidRPr="004C3BEF">
        <w:t>Accounting</w:t>
      </w:r>
    </w:p>
    <w:p w14:paraId="52BFCC09" w14:textId="664461EF" w:rsidR="006D724E" w:rsidRPr="00DF4746" w:rsidRDefault="009F37FD" w:rsidP="005E2C4C">
      <w:pPr>
        <w:pStyle w:val="BodyText"/>
        <w:ind w:left="919" w:right="918"/>
        <w:jc w:val="both"/>
      </w:pPr>
      <w:r w:rsidRPr="00DF4746">
        <w:t>Schools must comply with the accounting policy adopted by the Authority.</w:t>
      </w:r>
      <w:r w:rsidR="00BC34C3">
        <w:t xml:space="preserve"> </w:t>
      </w:r>
      <w:r w:rsidRPr="00DF4746">
        <w:t xml:space="preserve"> Any reports and accounts required by the Authority will be on an accruals basis.</w:t>
      </w:r>
      <w:r w:rsidR="00BC34C3">
        <w:t xml:space="preserve"> </w:t>
      </w:r>
      <w:r w:rsidRPr="00DF4746">
        <w:t xml:space="preserve"> While the requirement to provide reports and accounts on this basis is part of this scheme, it does not seek to impose a methodology on schools’ internal systems. </w:t>
      </w:r>
      <w:r w:rsidR="00BC34C3">
        <w:t xml:space="preserve"> </w:t>
      </w:r>
      <w:r w:rsidRPr="00DF4746">
        <w:t>(Schools will be able to use a cash basis for their internal systems if they wish, but in these circumstances must be able to reconcile the differences between their internal system and the reports provided to the Authority).</w:t>
      </w:r>
    </w:p>
    <w:p w14:paraId="52BFCC0A" w14:textId="77777777" w:rsidR="006D724E" w:rsidRPr="00DF4746" w:rsidRDefault="006D724E">
      <w:pPr>
        <w:pStyle w:val="BodyText"/>
        <w:spacing w:before="3"/>
      </w:pPr>
    </w:p>
    <w:p w14:paraId="52BFCC0B" w14:textId="7A02505C" w:rsidR="006D724E" w:rsidRPr="00DF4746" w:rsidRDefault="009F37FD" w:rsidP="005E2C4C">
      <w:pPr>
        <w:pStyle w:val="BodyText"/>
        <w:spacing w:before="1"/>
        <w:ind w:left="919" w:right="918"/>
        <w:jc w:val="both"/>
      </w:pPr>
      <w:r w:rsidRPr="00DF4746">
        <w:t>Schools need to be mindful of the reports, accounts, etc. which may be required by external funding bodies. These may be required on a different accounting basis and where schools access such funds, schools may themselves be subject to audit by the external body or their appointed audit</w:t>
      </w:r>
      <w:r w:rsidR="00BC34C3">
        <w:t>or</w:t>
      </w:r>
      <w:r w:rsidRPr="00DF4746">
        <w:t>s.</w:t>
      </w:r>
    </w:p>
    <w:p w14:paraId="52BFCC0C" w14:textId="77777777" w:rsidR="006D724E" w:rsidRPr="00193092" w:rsidRDefault="006D724E">
      <w:pPr>
        <w:pStyle w:val="BodyText"/>
        <w:spacing w:before="5"/>
      </w:pPr>
    </w:p>
    <w:p w14:paraId="52BFCC0D" w14:textId="77777777" w:rsidR="006D724E" w:rsidRPr="003D36CF" w:rsidRDefault="009F37FD" w:rsidP="006D724E">
      <w:pPr>
        <w:pStyle w:val="Heading1"/>
        <w:numPr>
          <w:ilvl w:val="1"/>
          <w:numId w:val="11"/>
        </w:numPr>
        <w:tabs>
          <w:tab w:val="left" w:pos="1637"/>
          <w:tab w:val="left" w:pos="1639"/>
        </w:tabs>
      </w:pPr>
      <w:r w:rsidRPr="003D36CF">
        <w:t>Submission of Budget</w:t>
      </w:r>
      <w:r w:rsidRPr="003D36CF">
        <w:rPr>
          <w:spacing w:val="-2"/>
        </w:rPr>
        <w:t xml:space="preserve"> </w:t>
      </w:r>
      <w:r w:rsidRPr="003D36CF">
        <w:t>Plans</w:t>
      </w:r>
      <w:r>
        <w:t xml:space="preserve"> and Budget Forecasts</w:t>
      </w:r>
    </w:p>
    <w:p w14:paraId="52BFCC0E" w14:textId="4DE2FAD1" w:rsidR="006D724E" w:rsidRPr="00DF4746" w:rsidRDefault="009F37FD" w:rsidP="005E2C4C">
      <w:pPr>
        <w:pStyle w:val="BodyText"/>
        <w:spacing w:before="1"/>
        <w:ind w:left="919" w:right="918"/>
        <w:jc w:val="both"/>
      </w:pPr>
      <w:r w:rsidRPr="00DF4746">
        <w:t xml:space="preserve">Each school must submit a budget plan to the Authority outlining its </w:t>
      </w:r>
      <w:r>
        <w:t>i</w:t>
      </w:r>
      <w:r w:rsidRPr="00DF4746">
        <w:t xml:space="preserve">ncome and expenditure for the upcoming financial year and </w:t>
      </w:r>
      <w:r w:rsidR="00BC34C3">
        <w:t>a forec</w:t>
      </w:r>
      <w:r>
        <w:t>ast for</w:t>
      </w:r>
      <w:r w:rsidR="00BC34C3">
        <w:t xml:space="preserve"> the</w:t>
      </w:r>
      <w:r>
        <w:t xml:space="preserve"> </w:t>
      </w:r>
      <w:r w:rsidRPr="00DF4746">
        <w:t xml:space="preserve">following </w:t>
      </w:r>
      <w:r w:rsidR="00BC34C3">
        <w:t>2 years.</w:t>
      </w:r>
      <w:r w:rsidRPr="00DF4746">
        <w:t xml:space="preserve"> The plan must take account of schools balances.</w:t>
      </w:r>
    </w:p>
    <w:p w14:paraId="52BFCC0F" w14:textId="77777777" w:rsidR="006D724E" w:rsidRPr="00DF4746" w:rsidRDefault="006D724E" w:rsidP="006D724E">
      <w:pPr>
        <w:pStyle w:val="BodyText"/>
        <w:spacing w:before="1" w:line="264" w:lineRule="auto"/>
        <w:ind w:left="917" w:right="1123"/>
      </w:pPr>
    </w:p>
    <w:p w14:paraId="52BFCC10" w14:textId="77777777" w:rsidR="006D724E" w:rsidRPr="00DF4746" w:rsidRDefault="009F37FD" w:rsidP="005E2C4C">
      <w:pPr>
        <w:pStyle w:val="BodyText"/>
        <w:tabs>
          <w:tab w:val="left" w:pos="10632"/>
        </w:tabs>
        <w:spacing w:before="1"/>
        <w:ind w:left="919" w:right="918"/>
        <w:jc w:val="both"/>
      </w:pPr>
      <w:r w:rsidRPr="00DF4746">
        <w:t>Plans must record the current financial position and anticipated position at the end of the financial year based on actual expenditure / income and forward projections.  A full staffing breakdown should be submitted alongside the approved plan.</w:t>
      </w:r>
    </w:p>
    <w:p w14:paraId="52BFCC11" w14:textId="77777777" w:rsidR="006D724E" w:rsidRPr="00DF4746" w:rsidRDefault="006D724E" w:rsidP="006D724E">
      <w:pPr>
        <w:pStyle w:val="BodyText"/>
        <w:spacing w:before="1" w:line="264" w:lineRule="auto"/>
        <w:ind w:left="917" w:right="1123"/>
      </w:pPr>
    </w:p>
    <w:p w14:paraId="52BFCC12" w14:textId="05147401" w:rsidR="006D724E" w:rsidRPr="00DF4746" w:rsidRDefault="009F37FD" w:rsidP="005E2C4C">
      <w:pPr>
        <w:pStyle w:val="BodyText"/>
        <w:spacing w:before="1"/>
        <w:ind w:left="919" w:right="918"/>
        <w:jc w:val="both"/>
      </w:pPr>
      <w:r w:rsidRPr="00DF4746">
        <w:t xml:space="preserve">The plan must be approved by the </w:t>
      </w:r>
      <w:r w:rsidR="00BC34C3">
        <w:t>g</w:t>
      </w:r>
      <w:r w:rsidRPr="00DF4746">
        <w:t xml:space="preserve">overning </w:t>
      </w:r>
      <w:r w:rsidR="00BC34C3">
        <w:t>body or a committee of the governing b</w:t>
      </w:r>
      <w:r w:rsidRPr="00DF4746">
        <w:t>ody and be in the format required by the Authority in line with Consistent Financial Reporting.</w:t>
      </w:r>
    </w:p>
    <w:p w14:paraId="52BFCC13" w14:textId="77777777" w:rsidR="006D724E" w:rsidRPr="00DF4746" w:rsidRDefault="006D724E" w:rsidP="006D724E">
      <w:pPr>
        <w:pStyle w:val="BodyText"/>
        <w:spacing w:before="1" w:line="264" w:lineRule="auto"/>
        <w:ind w:left="917" w:right="1123"/>
      </w:pPr>
    </w:p>
    <w:p w14:paraId="52BFCC14" w14:textId="5565890C" w:rsidR="006D724E" w:rsidRDefault="00BC34C3" w:rsidP="005E2C4C">
      <w:pPr>
        <w:pStyle w:val="BodyText"/>
        <w:numPr>
          <w:ilvl w:val="0"/>
          <w:numId w:val="14"/>
        </w:numPr>
        <w:spacing w:before="1"/>
        <w:ind w:left="1633" w:right="919" w:hanging="357"/>
        <w:jc w:val="both"/>
      </w:pPr>
      <w:r>
        <w:t>Annual plan approved by governing body; s</w:t>
      </w:r>
      <w:r w:rsidR="009F37FD" w:rsidRPr="00DF4746">
        <w:t>chools may take full account of estimated deficits and surpluses when</w:t>
      </w:r>
      <w:r w:rsidR="009F37FD">
        <w:t xml:space="preserve"> constructing the budget</w:t>
      </w:r>
      <w:r w:rsidR="009F37FD" w:rsidRPr="00DF4746">
        <w:t xml:space="preserve">.  The annual plan shall be submitted by 1 May each year.  </w:t>
      </w:r>
    </w:p>
    <w:p w14:paraId="52BFCC15" w14:textId="77777777" w:rsidR="006D724E" w:rsidRPr="00DF4746" w:rsidRDefault="006D724E" w:rsidP="005E2C4C">
      <w:pPr>
        <w:pStyle w:val="BodyText"/>
        <w:spacing w:before="1"/>
        <w:ind w:left="1637" w:right="1123"/>
      </w:pPr>
    </w:p>
    <w:p w14:paraId="52BFCC16" w14:textId="407653BD" w:rsidR="006D724E" w:rsidRPr="00DF4746" w:rsidRDefault="009F37FD" w:rsidP="005E2C4C">
      <w:pPr>
        <w:pStyle w:val="BodyText"/>
        <w:numPr>
          <w:ilvl w:val="0"/>
          <w:numId w:val="14"/>
        </w:numPr>
        <w:spacing w:before="1"/>
        <w:ind w:left="1633" w:right="918" w:hanging="357"/>
        <w:jc w:val="both"/>
      </w:pPr>
      <w:r w:rsidRPr="00DF4746">
        <w:t>Where schools are in deficit a provisional budget plan should be submitted in advance of the financial year to enable sufficient scru</w:t>
      </w:r>
      <w:r w:rsidR="008C7BA3">
        <w:t xml:space="preserve">tiny to ensure </w:t>
      </w:r>
      <w:r w:rsidRPr="00DF4746">
        <w:t>the deficit c</w:t>
      </w:r>
      <w:r w:rsidR="005E2C4C">
        <w:t xml:space="preserve">an be licenced appropriately.  </w:t>
      </w:r>
      <w:r w:rsidRPr="00DF4746">
        <w:t>The deadline for deficit schools is 1 April each year.</w:t>
      </w:r>
    </w:p>
    <w:p w14:paraId="52BFCC17" w14:textId="77777777" w:rsidR="006D724E" w:rsidRPr="00DF4746" w:rsidRDefault="006D724E" w:rsidP="006D724E">
      <w:pPr>
        <w:pStyle w:val="BodyText"/>
        <w:spacing w:before="1" w:line="264" w:lineRule="auto"/>
        <w:ind w:left="1637" w:right="1123"/>
      </w:pPr>
    </w:p>
    <w:p w14:paraId="52BFCC18" w14:textId="77777777" w:rsidR="006D724E" w:rsidRDefault="009F37FD" w:rsidP="005E2C4C">
      <w:pPr>
        <w:pStyle w:val="BodyText"/>
        <w:numPr>
          <w:ilvl w:val="0"/>
          <w:numId w:val="14"/>
        </w:numPr>
        <w:spacing w:before="1"/>
        <w:ind w:right="1123" w:hanging="357"/>
        <w:jc w:val="both"/>
      </w:pPr>
      <w:r w:rsidRPr="00DF4746">
        <w:t>No further spending plans are required except in the following cases:</w:t>
      </w:r>
    </w:p>
    <w:p w14:paraId="52BFCC19" w14:textId="16775BAC" w:rsidR="006D724E" w:rsidRDefault="009F37FD" w:rsidP="005E2C4C">
      <w:pPr>
        <w:pStyle w:val="BodyText"/>
        <w:numPr>
          <w:ilvl w:val="0"/>
          <w:numId w:val="22"/>
        </w:numPr>
        <w:spacing w:before="1"/>
        <w:ind w:right="918" w:hanging="357"/>
        <w:jc w:val="both"/>
      </w:pPr>
      <w:r>
        <w:t>The school is in deficit and on agreeing a deficit licence the plan needs to be revised</w:t>
      </w:r>
    </w:p>
    <w:p w14:paraId="52BFCC1A" w14:textId="77777777" w:rsidR="006D724E" w:rsidRDefault="009F37FD" w:rsidP="005E2C4C">
      <w:pPr>
        <w:pStyle w:val="BodyText"/>
        <w:numPr>
          <w:ilvl w:val="0"/>
          <w:numId w:val="22"/>
        </w:numPr>
        <w:spacing w:before="1"/>
        <w:ind w:right="918" w:hanging="357"/>
        <w:jc w:val="both"/>
      </w:pPr>
      <w:r>
        <w:t>Where a school budget has material changes that would mean the school is now likely to face an in-year deficit</w:t>
      </w:r>
    </w:p>
    <w:p w14:paraId="52BFCC1B" w14:textId="782CFFB5" w:rsidR="006D724E" w:rsidRDefault="009F37FD" w:rsidP="005E2C4C">
      <w:pPr>
        <w:pStyle w:val="BodyText"/>
        <w:numPr>
          <w:ilvl w:val="0"/>
          <w:numId w:val="22"/>
        </w:numPr>
        <w:spacing w:before="1"/>
        <w:ind w:right="918" w:hanging="357"/>
        <w:jc w:val="both"/>
      </w:pPr>
      <w:r>
        <w:t>Where schools find a material error or need to make a material change to the budget that under the schools delegation require</w:t>
      </w:r>
      <w:r w:rsidR="008C7BA3">
        <w:t>s sign off by g</w:t>
      </w:r>
      <w:r>
        <w:t>overnors.</w:t>
      </w:r>
    </w:p>
    <w:p w14:paraId="52BFCC1C" w14:textId="77777777" w:rsidR="006D724E" w:rsidRPr="00DF4746" w:rsidRDefault="006D724E" w:rsidP="006D724E">
      <w:pPr>
        <w:pStyle w:val="BodyText"/>
        <w:spacing w:before="1" w:line="264" w:lineRule="auto"/>
        <w:ind w:left="1637" w:right="1123"/>
      </w:pPr>
    </w:p>
    <w:p w14:paraId="52BFCC1D" w14:textId="70968D22" w:rsidR="006D724E" w:rsidRPr="00DF4746" w:rsidRDefault="009F37FD" w:rsidP="005E2C4C">
      <w:pPr>
        <w:pStyle w:val="BodyText"/>
        <w:spacing w:before="1"/>
        <w:ind w:left="919" w:right="918"/>
        <w:jc w:val="both"/>
      </w:pPr>
      <w:r w:rsidRPr="00DF4746">
        <w:t>Where a school does not submit its plan by the required date, the Authority shall make its own assumptions in calculating the subsequent instalments into the school bank account.  The Authority shall provide schools who utilise th</w:t>
      </w:r>
      <w:r w:rsidR="008C7BA3">
        <w:t>eir p</w:t>
      </w:r>
      <w:r w:rsidRPr="00DF4746">
        <w:t xml:space="preserve">ayroll service with details of contract information for all members of staff to assist in the budget planning process.  The Authority will provide a monthly report of income and expenditure transactions that have been processed by the Authority centrally for each school (e.g. Authority recharges). </w:t>
      </w:r>
    </w:p>
    <w:p w14:paraId="52BFCC1E" w14:textId="77777777" w:rsidR="006D724E" w:rsidRPr="005E2C4C" w:rsidRDefault="006D724E" w:rsidP="005E2C4C">
      <w:pPr>
        <w:pStyle w:val="BodyText"/>
        <w:spacing w:before="6"/>
        <w:jc w:val="both"/>
      </w:pPr>
    </w:p>
    <w:p w14:paraId="52BFCC1F" w14:textId="30DA8E07" w:rsidR="006D724E" w:rsidRPr="00DF4746" w:rsidRDefault="008C7BA3" w:rsidP="005E2C4C">
      <w:pPr>
        <w:pStyle w:val="BodyText"/>
        <w:ind w:left="917" w:right="918"/>
        <w:jc w:val="both"/>
      </w:pPr>
      <w:r>
        <w:lastRenderedPageBreak/>
        <w:t>The A</w:t>
      </w:r>
      <w:r w:rsidR="009F37FD" w:rsidRPr="00DF4746">
        <w:t xml:space="preserve">uthority requires schools to submit a </w:t>
      </w:r>
      <w:r w:rsidR="009F37FD">
        <w:t xml:space="preserve">budget </w:t>
      </w:r>
      <w:r w:rsidR="009F37FD" w:rsidRPr="00DF4746">
        <w:t>forecast covering each year of a multi-year period for which schools have been notified of budget shares beyond the current year.</w:t>
      </w:r>
      <w:r w:rsidR="005E2C4C">
        <w:t xml:space="preserve"> </w:t>
      </w:r>
      <w:r w:rsidR="009F37FD" w:rsidRPr="00DF4746">
        <w:t xml:space="preserve"> This period is a minimum of 3 years and could be a maximum of 5 years, where requested.</w:t>
      </w:r>
    </w:p>
    <w:p w14:paraId="52BFCC20" w14:textId="77777777" w:rsidR="006D724E" w:rsidRPr="005E2C4C" w:rsidRDefault="006D724E">
      <w:pPr>
        <w:pStyle w:val="BodyText"/>
        <w:spacing w:before="3"/>
      </w:pPr>
    </w:p>
    <w:p w14:paraId="52BFCC21" w14:textId="77777777" w:rsidR="006D724E" w:rsidRPr="00DF4746" w:rsidRDefault="009F37FD">
      <w:pPr>
        <w:pStyle w:val="BodyText"/>
        <w:ind w:left="917"/>
      </w:pPr>
      <w:r>
        <w:t xml:space="preserve">Budget </w:t>
      </w:r>
      <w:r w:rsidRPr="00DF4746">
        <w:t xml:space="preserve">Forecasts will be used for the following </w:t>
      </w:r>
      <w:proofErr w:type="gramStart"/>
      <w:r w:rsidRPr="00DF4746">
        <w:t>purposes:-</w:t>
      </w:r>
      <w:proofErr w:type="gramEnd"/>
    </w:p>
    <w:p w14:paraId="52BFCC22" w14:textId="4B877E08" w:rsidR="006D724E" w:rsidRPr="00DF4746" w:rsidRDefault="009F37FD" w:rsidP="006D724E">
      <w:pPr>
        <w:pStyle w:val="ListParagraph"/>
        <w:numPr>
          <w:ilvl w:val="3"/>
          <w:numId w:val="9"/>
        </w:numPr>
        <w:tabs>
          <w:tab w:val="left" w:pos="1997"/>
          <w:tab w:val="left" w:pos="1998"/>
        </w:tabs>
        <w:spacing w:before="26"/>
      </w:pPr>
      <w:r w:rsidRPr="00DF4746">
        <w:t>to confirm schools are undertaking effective financial</w:t>
      </w:r>
      <w:r w:rsidRPr="00DF4746">
        <w:rPr>
          <w:spacing w:val="-7"/>
        </w:rPr>
        <w:t xml:space="preserve"> </w:t>
      </w:r>
      <w:r w:rsidRPr="00DF4746">
        <w:t>planning</w:t>
      </w:r>
    </w:p>
    <w:p w14:paraId="52BFCC23" w14:textId="77777777" w:rsidR="006D724E" w:rsidRPr="00DF4746" w:rsidRDefault="009F37FD" w:rsidP="006D724E">
      <w:pPr>
        <w:pStyle w:val="ListParagraph"/>
        <w:numPr>
          <w:ilvl w:val="3"/>
          <w:numId w:val="9"/>
        </w:numPr>
        <w:tabs>
          <w:tab w:val="left" w:pos="1997"/>
          <w:tab w:val="left" w:pos="1998"/>
        </w:tabs>
        <w:spacing w:before="25"/>
      </w:pPr>
      <w:r w:rsidRPr="00DF4746">
        <w:t>to support the authority’s assessment of Schools Financial Value</w:t>
      </w:r>
      <w:r w:rsidRPr="00DF4746">
        <w:rPr>
          <w:spacing w:val="-11"/>
        </w:rPr>
        <w:t xml:space="preserve"> </w:t>
      </w:r>
      <w:r w:rsidRPr="00DF4746">
        <w:t>Standards</w:t>
      </w:r>
    </w:p>
    <w:p w14:paraId="52BFCC24" w14:textId="0E541DFA" w:rsidR="006D724E" w:rsidRPr="00DF4746" w:rsidRDefault="008C7BA3" w:rsidP="006D724E">
      <w:pPr>
        <w:pStyle w:val="ListParagraph"/>
        <w:numPr>
          <w:ilvl w:val="3"/>
          <w:numId w:val="9"/>
        </w:numPr>
        <w:tabs>
          <w:tab w:val="left" w:pos="1997"/>
          <w:tab w:val="left" w:pos="1998"/>
        </w:tabs>
        <w:spacing w:before="26"/>
      </w:pPr>
      <w:r>
        <w:t>in support of the A</w:t>
      </w:r>
      <w:r w:rsidR="009F37FD" w:rsidRPr="00DF4746">
        <w:t>uthority’s balance control</w:t>
      </w:r>
      <w:r w:rsidR="009F37FD" w:rsidRPr="00DF4746">
        <w:rPr>
          <w:spacing w:val="-5"/>
        </w:rPr>
        <w:t xml:space="preserve"> </w:t>
      </w:r>
      <w:r w:rsidR="009F37FD" w:rsidRPr="00DF4746">
        <w:t>mechanism</w:t>
      </w:r>
    </w:p>
    <w:p w14:paraId="52BFCC25" w14:textId="77777777" w:rsidR="006D724E" w:rsidRPr="005E2C4C" w:rsidRDefault="006D724E">
      <w:pPr>
        <w:pStyle w:val="BodyText"/>
        <w:spacing w:before="8"/>
      </w:pPr>
    </w:p>
    <w:p w14:paraId="52BFCC26" w14:textId="77777777" w:rsidR="006D724E" w:rsidRDefault="009F37FD" w:rsidP="006D724E">
      <w:pPr>
        <w:pStyle w:val="Heading1"/>
        <w:numPr>
          <w:ilvl w:val="1"/>
          <w:numId w:val="9"/>
        </w:numPr>
        <w:tabs>
          <w:tab w:val="left" w:pos="1637"/>
          <w:tab w:val="left" w:pos="1639"/>
        </w:tabs>
      </w:pPr>
      <w:r>
        <w:t>Efficiency and Value for Money</w:t>
      </w:r>
    </w:p>
    <w:p w14:paraId="52BFCC27" w14:textId="31C87BD4" w:rsidR="006D724E" w:rsidRDefault="009F37FD" w:rsidP="005E2C4C">
      <w:pPr>
        <w:pStyle w:val="BodyText"/>
        <w:ind w:left="919" w:right="918"/>
        <w:jc w:val="both"/>
      </w:pPr>
      <w:r w:rsidRPr="00DF4746">
        <w:t>Given the very high proportion of spending that flows through the delegated budgets, it is essential that schools must seek to achieve effective management of resources and</w:t>
      </w:r>
      <w:r>
        <w:t xml:space="preserve"> </w:t>
      </w:r>
      <w:r w:rsidRPr="00DF4746">
        <w:t>value for money, to optimise the use of their resources and to invest in teaching and learning and maximise pupil out</w:t>
      </w:r>
      <w:r w:rsidR="008C7BA3">
        <w:t>comes, taking into account the A</w:t>
      </w:r>
      <w:r w:rsidRPr="00DF4746">
        <w:t xml:space="preserve">uthority’s purchasing, tendering and contracting requirements. </w:t>
      </w:r>
    </w:p>
    <w:p w14:paraId="52BFCC28" w14:textId="77777777" w:rsidR="006D724E" w:rsidRPr="00DF4746" w:rsidRDefault="006D724E" w:rsidP="006D724E">
      <w:pPr>
        <w:pStyle w:val="BodyText"/>
        <w:spacing w:line="264" w:lineRule="auto"/>
        <w:ind w:left="917" w:right="1344"/>
      </w:pPr>
    </w:p>
    <w:p w14:paraId="52BFCC29" w14:textId="77777777" w:rsidR="006D724E" w:rsidRPr="00DF4746" w:rsidRDefault="009F37FD" w:rsidP="005E2C4C">
      <w:pPr>
        <w:pStyle w:val="BodyText"/>
        <w:ind w:left="919" w:right="918"/>
        <w:jc w:val="both"/>
      </w:pPr>
      <w:r w:rsidRPr="00DF4746">
        <w:t>It is for heads and governors to determine at school level how to optimise the use of resources and maximise value for money.</w:t>
      </w:r>
    </w:p>
    <w:p w14:paraId="52BFCC2A" w14:textId="77777777" w:rsidR="006D724E" w:rsidRPr="00DF4746" w:rsidRDefault="006D724E" w:rsidP="0067251B">
      <w:pPr>
        <w:pStyle w:val="BodyText"/>
        <w:tabs>
          <w:tab w:val="left" w:pos="10632"/>
        </w:tabs>
        <w:ind w:left="919" w:right="1344"/>
        <w:jc w:val="both"/>
      </w:pPr>
    </w:p>
    <w:p w14:paraId="52BFCC2B" w14:textId="77777777" w:rsidR="006D724E" w:rsidRPr="00DF4746" w:rsidRDefault="009F37FD" w:rsidP="0067251B">
      <w:pPr>
        <w:pStyle w:val="BodyText"/>
        <w:ind w:left="919" w:right="918"/>
        <w:jc w:val="both"/>
      </w:pPr>
      <w:r w:rsidRPr="00DF4746">
        <w:t>There are significant variations in the effective management of resources between similar schools, and so it is important for schools to review their current expenditure, compare it to other schools and think about how to make improvements.</w:t>
      </w:r>
    </w:p>
    <w:p w14:paraId="52BFCC2C" w14:textId="77777777" w:rsidR="006D724E" w:rsidRPr="0067251B" w:rsidRDefault="006D724E" w:rsidP="006D724E">
      <w:pPr>
        <w:pStyle w:val="BodyText"/>
        <w:spacing w:before="4"/>
        <w:ind w:right="1344"/>
      </w:pPr>
    </w:p>
    <w:p w14:paraId="52BFCC2D" w14:textId="77777777" w:rsidR="006D724E" w:rsidRDefault="009F37FD" w:rsidP="006D724E">
      <w:pPr>
        <w:pStyle w:val="Heading1"/>
        <w:numPr>
          <w:ilvl w:val="1"/>
          <w:numId w:val="9"/>
        </w:numPr>
        <w:tabs>
          <w:tab w:val="left" w:pos="1637"/>
          <w:tab w:val="left" w:pos="1639"/>
        </w:tabs>
        <w:spacing w:before="1"/>
      </w:pPr>
      <w:r>
        <w:t>Virement</w:t>
      </w:r>
    </w:p>
    <w:p w14:paraId="52BFCC2E" w14:textId="408A4FCC" w:rsidR="006D724E" w:rsidRPr="00DF4746" w:rsidRDefault="009F37FD" w:rsidP="0067251B">
      <w:pPr>
        <w:pStyle w:val="BodyText"/>
        <w:ind w:left="919" w:right="919"/>
        <w:jc w:val="both"/>
      </w:pPr>
      <w:r w:rsidRPr="00DF4746">
        <w:t xml:space="preserve">Schools shall have freedom to vire between budget heads at any level of their individual budget share.  It shall be up to </w:t>
      </w:r>
      <w:r w:rsidR="008C7BA3">
        <w:t>governing b</w:t>
      </w:r>
      <w:r w:rsidRPr="00DF4746">
        <w:t xml:space="preserve">odies to determine the level of virement that will be delegated to a Finance Sub-Committee and/or the </w:t>
      </w:r>
      <w:r w:rsidR="008C7BA3">
        <w:t>headt</w:t>
      </w:r>
      <w:r w:rsidRPr="00DF4746">
        <w:t xml:space="preserve">eacher.  </w:t>
      </w:r>
    </w:p>
    <w:p w14:paraId="52BFCC2F" w14:textId="77777777" w:rsidR="006D724E" w:rsidRPr="00DF4746" w:rsidRDefault="006D724E" w:rsidP="006D724E">
      <w:pPr>
        <w:pStyle w:val="BodyText"/>
        <w:spacing w:line="264" w:lineRule="auto"/>
        <w:ind w:left="917" w:right="1845"/>
      </w:pPr>
    </w:p>
    <w:p w14:paraId="52BFCC30" w14:textId="77777777" w:rsidR="006D724E" w:rsidRPr="00DF4746" w:rsidRDefault="009F37FD" w:rsidP="0067251B">
      <w:pPr>
        <w:pStyle w:val="BodyText"/>
        <w:ind w:left="919" w:right="918"/>
        <w:jc w:val="both"/>
      </w:pPr>
      <w:r w:rsidRPr="00DF4746">
        <w:t>The Authority will provide advice on virement levels on request.  The Authority will request schools to carefully consider virements from staffing budgets that may leave insufficient funds to pay staff.</w:t>
      </w:r>
    </w:p>
    <w:p w14:paraId="52BFCC31" w14:textId="77777777" w:rsidR="006D724E" w:rsidRPr="00377D1E" w:rsidRDefault="006D724E" w:rsidP="006D724E">
      <w:pPr>
        <w:pStyle w:val="BodyText"/>
        <w:spacing w:line="264" w:lineRule="auto"/>
        <w:ind w:left="917" w:right="1845"/>
      </w:pPr>
    </w:p>
    <w:p w14:paraId="52BFCC32" w14:textId="244820D6" w:rsidR="006D724E" w:rsidRPr="007F65B4" w:rsidRDefault="009F37FD" w:rsidP="006D724E">
      <w:pPr>
        <w:pStyle w:val="Heading1"/>
        <w:numPr>
          <w:ilvl w:val="1"/>
          <w:numId w:val="9"/>
        </w:numPr>
        <w:tabs>
          <w:tab w:val="left" w:pos="1637"/>
          <w:tab w:val="left" w:pos="1639"/>
        </w:tabs>
      </w:pPr>
      <w:r w:rsidRPr="007F65B4">
        <w:t>Audit:</w:t>
      </w:r>
      <w:r w:rsidR="00071532">
        <w:t xml:space="preserve"> </w:t>
      </w:r>
      <w:r w:rsidRPr="007F65B4">
        <w:t>General</w:t>
      </w:r>
    </w:p>
    <w:p w14:paraId="52BFCC33" w14:textId="77777777" w:rsidR="006D724E" w:rsidRPr="00DF4746" w:rsidRDefault="009F37FD" w:rsidP="0067251B">
      <w:pPr>
        <w:pStyle w:val="BodyText"/>
        <w:ind w:left="919" w:right="918"/>
        <w:jc w:val="both"/>
      </w:pPr>
      <w:r w:rsidRPr="00DF4746">
        <w:t>Schools are custodians of public funds and as such are subject to the same standards of audit as the rest of the Authority.  The S151 Officer has a statutory duty to maintain an effective internal audit.  The Authority is also subject to external audit.  Schools, which are subject to audit, whether internal or external, shall co-operate fully with the auditors and shall provide access to all records that are requested.  Failure to co-operate with the auditors may lead to removal of delegation.</w:t>
      </w:r>
    </w:p>
    <w:p w14:paraId="52BFCC34" w14:textId="77777777" w:rsidR="006D724E" w:rsidRPr="00287562" w:rsidRDefault="006D724E" w:rsidP="006D724E">
      <w:pPr>
        <w:pStyle w:val="BodyText"/>
        <w:spacing w:line="264" w:lineRule="auto"/>
        <w:ind w:left="917" w:right="1845"/>
      </w:pPr>
    </w:p>
    <w:p w14:paraId="52BFCC35" w14:textId="77777777" w:rsidR="006D724E" w:rsidRPr="007F65B4" w:rsidRDefault="009F37FD" w:rsidP="006D724E">
      <w:pPr>
        <w:pStyle w:val="Heading1"/>
        <w:numPr>
          <w:ilvl w:val="1"/>
          <w:numId w:val="9"/>
        </w:numPr>
        <w:tabs>
          <w:tab w:val="left" w:pos="1637"/>
          <w:tab w:val="left" w:pos="1639"/>
        </w:tabs>
      </w:pPr>
      <w:r w:rsidRPr="007F65B4">
        <w:t>Separate External</w:t>
      </w:r>
      <w:r w:rsidRPr="007F65B4">
        <w:rPr>
          <w:spacing w:val="-6"/>
        </w:rPr>
        <w:t xml:space="preserve"> </w:t>
      </w:r>
      <w:r w:rsidRPr="007F65B4">
        <w:t>Audits</w:t>
      </w:r>
    </w:p>
    <w:p w14:paraId="52BFCC36" w14:textId="77777777" w:rsidR="006D724E" w:rsidRPr="00DF4746" w:rsidRDefault="009F37FD" w:rsidP="0067251B">
      <w:pPr>
        <w:pStyle w:val="BodyText"/>
        <w:ind w:left="919" w:right="918"/>
        <w:jc w:val="both"/>
      </w:pPr>
      <w:r w:rsidRPr="00DF4746">
        <w:t xml:space="preserve">Schools shall have the freedom to obtain independent external audit verification of their accounts, which will be additional to the Authority’s internal and external audit checks.  Schools that take this approach will have to fund the cost of the audit from their budget.  The Authority does not expect schools to routinely pay for an external </w:t>
      </w:r>
      <w:proofErr w:type="gramStart"/>
      <w:r w:rsidRPr="00DF4746">
        <w:t>audit</w:t>
      </w:r>
      <w:proofErr w:type="gramEnd"/>
      <w:r w:rsidRPr="00DF4746">
        <w:t xml:space="preserve"> but the costs of such audits shall be an acceptable charge on the school budget.</w:t>
      </w:r>
    </w:p>
    <w:p w14:paraId="52BFCC37" w14:textId="77777777" w:rsidR="006D724E" w:rsidRPr="0067251B" w:rsidRDefault="006D724E">
      <w:pPr>
        <w:pStyle w:val="BodyText"/>
        <w:spacing w:before="8"/>
      </w:pPr>
    </w:p>
    <w:p w14:paraId="52BFCC38" w14:textId="77777777" w:rsidR="006D724E" w:rsidRPr="00100648" w:rsidRDefault="009F37FD" w:rsidP="006D724E">
      <w:pPr>
        <w:pStyle w:val="Heading1"/>
        <w:numPr>
          <w:ilvl w:val="1"/>
          <w:numId w:val="9"/>
        </w:numPr>
        <w:tabs>
          <w:tab w:val="left" w:pos="1637"/>
          <w:tab w:val="left" w:pos="1639"/>
        </w:tabs>
      </w:pPr>
      <w:r w:rsidRPr="00100648">
        <w:t>Audit of Voluntary and Private</w:t>
      </w:r>
      <w:r w:rsidRPr="00100648">
        <w:rPr>
          <w:spacing w:val="-4"/>
        </w:rPr>
        <w:t xml:space="preserve"> </w:t>
      </w:r>
      <w:r w:rsidRPr="00100648">
        <w:t>Funds</w:t>
      </w:r>
    </w:p>
    <w:p w14:paraId="52BFCC39" w14:textId="24768ED5" w:rsidR="006D724E" w:rsidRPr="00DF4746" w:rsidRDefault="009F37FD" w:rsidP="0067251B">
      <w:pPr>
        <w:pStyle w:val="BodyText"/>
        <w:ind w:left="919" w:right="918"/>
        <w:jc w:val="both"/>
      </w:pPr>
      <w:r w:rsidRPr="00DF4746">
        <w:t xml:space="preserve">Set out below </w:t>
      </w:r>
      <w:proofErr w:type="gramStart"/>
      <w:r w:rsidRPr="00DF4746">
        <w:t>is</w:t>
      </w:r>
      <w:proofErr w:type="gramEnd"/>
      <w:r w:rsidRPr="00DF4746">
        <w:t xml:space="preserve"> the Authority’s definition of a voluntary fund and the minimum requirements for managing such funds set out in the code of practice.</w:t>
      </w:r>
      <w:r w:rsidR="004F0FF6">
        <w:t xml:space="preserve"> </w:t>
      </w:r>
      <w:r w:rsidRPr="00DF4746">
        <w:t xml:space="preserve"> The code of practice may be enhanced but not diluted by individual </w:t>
      </w:r>
      <w:r w:rsidR="004F0FF6">
        <w:t>g</w:t>
      </w:r>
      <w:r w:rsidRPr="00DF4746">
        <w:t>overning bodies.  Monies donated or collected for different purposes should not be mixed, but separate unofficial funds should be set up.  Governors should attempt to establish a constitution for each fund which should be agreed with the contributors to the</w:t>
      </w:r>
      <w:r w:rsidRPr="00DF4746">
        <w:rPr>
          <w:spacing w:val="-10"/>
        </w:rPr>
        <w:t xml:space="preserve"> </w:t>
      </w:r>
      <w:r w:rsidRPr="00DF4746">
        <w:t>fund.</w:t>
      </w:r>
    </w:p>
    <w:p w14:paraId="52BFCC3B" w14:textId="6CFA501F" w:rsidR="006D724E" w:rsidRPr="00DF4746" w:rsidRDefault="009F37FD" w:rsidP="0067251B">
      <w:pPr>
        <w:pStyle w:val="BodyText"/>
        <w:tabs>
          <w:tab w:val="left" w:pos="10632"/>
        </w:tabs>
        <w:ind w:left="919" w:right="919"/>
        <w:jc w:val="both"/>
      </w:pPr>
      <w:r w:rsidRPr="00DF4746">
        <w:t xml:space="preserve">The governing body should </w:t>
      </w:r>
      <w:proofErr w:type="gramStart"/>
      <w:r w:rsidRPr="00DF4746">
        <w:t>make arrangements</w:t>
      </w:r>
      <w:proofErr w:type="gramEnd"/>
      <w:r w:rsidRPr="00DF4746">
        <w:t xml:space="preserve"> to ensure that voluntary or private funds held by the schools are administered to the same standards of stewardship as exist for official funds.</w:t>
      </w:r>
      <w:r w:rsidR="0067251B">
        <w:t xml:space="preserve">  </w:t>
      </w:r>
      <w:r w:rsidRPr="00DF4746">
        <w:t>Governing bodies must keep a record of all voluntary or private funds held by the school and ensure that the accounts are audited each year including accounts of any trading activities controlled by the school.</w:t>
      </w:r>
    </w:p>
    <w:p w14:paraId="52BFCC3C" w14:textId="77777777" w:rsidR="006D724E" w:rsidRPr="00DF4746" w:rsidRDefault="006D724E" w:rsidP="0067251B">
      <w:pPr>
        <w:pStyle w:val="BodyText"/>
        <w:spacing w:before="3"/>
      </w:pPr>
    </w:p>
    <w:p w14:paraId="52BFCC3D" w14:textId="77777777" w:rsidR="006D724E" w:rsidRPr="00DF4746" w:rsidRDefault="009F37FD" w:rsidP="0067251B">
      <w:pPr>
        <w:pStyle w:val="BodyText"/>
        <w:spacing w:before="1"/>
        <w:ind w:left="919"/>
        <w:jc w:val="both"/>
      </w:pPr>
      <w:r w:rsidRPr="00DF4746">
        <w:rPr>
          <w:u w:val="single"/>
        </w:rPr>
        <w:lastRenderedPageBreak/>
        <w:t>Definition</w:t>
      </w:r>
    </w:p>
    <w:p w14:paraId="52BFCC3E" w14:textId="2D8C4CA5" w:rsidR="006D724E" w:rsidRPr="00DF4746" w:rsidRDefault="009F37FD" w:rsidP="0067251B">
      <w:pPr>
        <w:pStyle w:val="BodyText"/>
        <w:spacing w:before="25"/>
        <w:ind w:left="919" w:right="918"/>
        <w:jc w:val="both"/>
      </w:pPr>
      <w:r w:rsidRPr="00DF4746">
        <w:t>“Any fund other than an official fund of the Authority which is controlled wholly or in part by an Authority or by the Governors of a school maintained by the Authority”</w:t>
      </w:r>
      <w:r w:rsidR="0067251B">
        <w:t>.</w:t>
      </w:r>
    </w:p>
    <w:p w14:paraId="52BFCC3F" w14:textId="77777777" w:rsidR="006D724E" w:rsidRPr="00DF4746" w:rsidRDefault="006D724E" w:rsidP="0067251B">
      <w:pPr>
        <w:pStyle w:val="BodyText"/>
        <w:jc w:val="both"/>
      </w:pPr>
    </w:p>
    <w:p w14:paraId="52BFCC40" w14:textId="77777777" w:rsidR="006D724E" w:rsidRPr="00DF4746" w:rsidRDefault="009F37FD" w:rsidP="0067251B">
      <w:pPr>
        <w:pStyle w:val="BodyText"/>
        <w:spacing w:before="71"/>
        <w:ind w:left="917"/>
        <w:jc w:val="both"/>
      </w:pPr>
      <w:r w:rsidRPr="00DF4746">
        <w:rPr>
          <w:u w:val="single"/>
        </w:rPr>
        <w:t>Code of Practice</w:t>
      </w:r>
    </w:p>
    <w:p w14:paraId="52BFCC41" w14:textId="77777777" w:rsidR="006D724E" w:rsidRPr="00DF4746" w:rsidRDefault="009F37FD" w:rsidP="0067251B">
      <w:pPr>
        <w:pStyle w:val="ListParagraph"/>
        <w:numPr>
          <w:ilvl w:val="0"/>
          <w:numId w:val="8"/>
        </w:numPr>
        <w:tabs>
          <w:tab w:val="left" w:pos="1637"/>
          <w:tab w:val="left" w:pos="1639"/>
        </w:tabs>
        <w:spacing w:before="27"/>
        <w:ind w:right="918"/>
        <w:jc w:val="both"/>
      </w:pPr>
      <w:r w:rsidRPr="00DF4746">
        <w:t>Adequate records should be maintained of all receipts and payments and transactions should wherever possible be recorded as they occur. When practicable, payment should be made by cheque or vouchers and, other supporting evidence of payment should be carefully retained for</w:t>
      </w:r>
      <w:r w:rsidRPr="00DF4746">
        <w:rPr>
          <w:spacing w:val="-6"/>
        </w:rPr>
        <w:t xml:space="preserve"> </w:t>
      </w:r>
      <w:r w:rsidRPr="00DF4746">
        <w:t>Audit.</w:t>
      </w:r>
    </w:p>
    <w:p w14:paraId="52BFCC42" w14:textId="77777777" w:rsidR="006D724E" w:rsidRPr="00DF4746" w:rsidRDefault="009F37FD" w:rsidP="0067251B">
      <w:pPr>
        <w:pStyle w:val="ListParagraph"/>
        <w:numPr>
          <w:ilvl w:val="0"/>
          <w:numId w:val="8"/>
        </w:numPr>
        <w:tabs>
          <w:tab w:val="left" w:pos="1637"/>
          <w:tab w:val="left" w:pos="1639"/>
        </w:tabs>
        <w:spacing w:before="8"/>
        <w:ind w:right="918"/>
        <w:jc w:val="both"/>
      </w:pPr>
      <w:r w:rsidRPr="00DF4746">
        <w:t xml:space="preserve">Cash balances </w:t>
      </w:r>
      <w:proofErr w:type="gramStart"/>
      <w:r w:rsidRPr="00DF4746">
        <w:t>in excess of</w:t>
      </w:r>
      <w:proofErr w:type="gramEnd"/>
      <w:r w:rsidRPr="00DF4746">
        <w:t xml:space="preserve"> immediate requirements should be deposited in a</w:t>
      </w:r>
      <w:r w:rsidRPr="00DF4746">
        <w:rPr>
          <w:spacing w:val="-22"/>
        </w:rPr>
        <w:t xml:space="preserve"> </w:t>
      </w:r>
      <w:r w:rsidRPr="00DF4746">
        <w:t>bank account and an account should be opened in the name of the</w:t>
      </w:r>
      <w:r w:rsidRPr="00DF4746">
        <w:rPr>
          <w:spacing w:val="-13"/>
        </w:rPr>
        <w:t xml:space="preserve"> </w:t>
      </w:r>
      <w:r w:rsidRPr="00DF4746">
        <w:t>fund.</w:t>
      </w:r>
    </w:p>
    <w:p w14:paraId="52BFCC43" w14:textId="77777777" w:rsidR="006D724E" w:rsidRPr="00DF4746" w:rsidRDefault="009F37FD" w:rsidP="0067251B">
      <w:pPr>
        <w:pStyle w:val="ListParagraph"/>
        <w:numPr>
          <w:ilvl w:val="0"/>
          <w:numId w:val="8"/>
        </w:numPr>
        <w:tabs>
          <w:tab w:val="left" w:pos="1637"/>
          <w:tab w:val="left" w:pos="1639"/>
        </w:tabs>
        <w:spacing w:before="7"/>
        <w:ind w:right="918"/>
        <w:jc w:val="both"/>
      </w:pPr>
      <w:r w:rsidRPr="00DF4746">
        <w:t>Bank deposits may be made by an authorised person, but withdrawals on account should be on the joint signatures of the Treasurer of the fund and one other nominated</w:t>
      </w:r>
      <w:r w:rsidRPr="00DF4746">
        <w:rPr>
          <w:spacing w:val="-20"/>
        </w:rPr>
        <w:t xml:space="preserve"> </w:t>
      </w:r>
      <w:r w:rsidRPr="00DF4746">
        <w:t>person.</w:t>
      </w:r>
    </w:p>
    <w:p w14:paraId="52BFCC44" w14:textId="6C00B5D6" w:rsidR="006D724E" w:rsidRPr="00DF4746" w:rsidRDefault="009F37FD" w:rsidP="0067251B">
      <w:pPr>
        <w:pStyle w:val="ListParagraph"/>
        <w:numPr>
          <w:ilvl w:val="0"/>
          <w:numId w:val="8"/>
        </w:numPr>
        <w:tabs>
          <w:tab w:val="left" w:pos="1637"/>
          <w:tab w:val="left" w:pos="1639"/>
        </w:tabs>
        <w:spacing w:before="7"/>
        <w:ind w:right="918"/>
        <w:jc w:val="both"/>
      </w:pPr>
      <w:r w:rsidRPr="00DF4746">
        <w:t>At the end of the annual period of account a statement summarising the receipts and payments should be prepared.</w:t>
      </w:r>
      <w:r w:rsidR="004F0FF6">
        <w:t xml:space="preserve"> </w:t>
      </w:r>
      <w:r w:rsidRPr="00DF4746">
        <w:t xml:space="preserve"> The balance of cash should be shown separately as to </w:t>
      </w:r>
      <w:r w:rsidR="004F0FF6">
        <w:t xml:space="preserve">the </w:t>
      </w:r>
      <w:r w:rsidRPr="00DF4746">
        <w:t>amount in hand and at</w:t>
      </w:r>
      <w:r w:rsidR="004F0FF6">
        <w:t xml:space="preserve"> the</w:t>
      </w:r>
      <w:r w:rsidRPr="00DF4746">
        <w:rPr>
          <w:spacing w:val="-3"/>
        </w:rPr>
        <w:t xml:space="preserve"> </w:t>
      </w:r>
      <w:r w:rsidRPr="00DF4746">
        <w:t>bank.</w:t>
      </w:r>
    </w:p>
    <w:p w14:paraId="52BFCC45" w14:textId="059EFE30" w:rsidR="006D724E" w:rsidRPr="00DF4746" w:rsidRDefault="009F37FD" w:rsidP="0067251B">
      <w:pPr>
        <w:pStyle w:val="ListParagraph"/>
        <w:numPr>
          <w:ilvl w:val="0"/>
          <w:numId w:val="8"/>
        </w:numPr>
        <w:tabs>
          <w:tab w:val="left" w:pos="1637"/>
          <w:tab w:val="left" w:pos="1639"/>
        </w:tabs>
        <w:spacing w:before="4"/>
        <w:ind w:right="919"/>
        <w:jc w:val="both"/>
      </w:pPr>
      <w:r w:rsidRPr="00DF4746">
        <w:t>An independent person should be appointed as auditor.</w:t>
      </w:r>
      <w:r w:rsidR="004F0FF6">
        <w:t xml:space="preserve"> </w:t>
      </w:r>
      <w:r w:rsidRPr="00DF4746">
        <w:t xml:space="preserve"> This cannot be a person generally involved in the running of the fund. </w:t>
      </w:r>
      <w:r w:rsidR="004F0FF6">
        <w:t xml:space="preserve"> </w:t>
      </w:r>
      <w:r w:rsidRPr="00DF4746">
        <w:t>This person can’t be another member of</w:t>
      </w:r>
      <w:r w:rsidRPr="00DF4746">
        <w:rPr>
          <w:spacing w:val="-19"/>
        </w:rPr>
        <w:t xml:space="preserve"> </w:t>
      </w:r>
      <w:r w:rsidRPr="00DF4746">
        <w:t>staff.</w:t>
      </w:r>
    </w:p>
    <w:p w14:paraId="52BFCC46" w14:textId="3F8A18A2" w:rsidR="006D724E" w:rsidRPr="00DF4746" w:rsidRDefault="009F37FD" w:rsidP="0067251B">
      <w:pPr>
        <w:pStyle w:val="ListParagraph"/>
        <w:numPr>
          <w:ilvl w:val="0"/>
          <w:numId w:val="8"/>
        </w:numPr>
        <w:tabs>
          <w:tab w:val="left" w:pos="1695"/>
          <w:tab w:val="left" w:pos="1696"/>
        </w:tabs>
        <w:spacing w:before="7"/>
        <w:ind w:right="919"/>
        <w:jc w:val="both"/>
      </w:pPr>
      <w:r w:rsidRPr="00DF4746">
        <w:t>Within three months of the end of the annual period of account the auditor’s certificate should be</w:t>
      </w:r>
      <w:r w:rsidRPr="00DF4746">
        <w:rPr>
          <w:spacing w:val="-1"/>
        </w:rPr>
        <w:t xml:space="preserve"> </w:t>
      </w:r>
      <w:r w:rsidRPr="00DF4746">
        <w:t>obtained.</w:t>
      </w:r>
    </w:p>
    <w:p w14:paraId="52BFCC47" w14:textId="77777777" w:rsidR="006D724E" w:rsidRPr="00DF4746" w:rsidRDefault="009F37FD" w:rsidP="0067251B">
      <w:pPr>
        <w:pStyle w:val="ListParagraph"/>
        <w:numPr>
          <w:ilvl w:val="0"/>
          <w:numId w:val="8"/>
        </w:numPr>
        <w:tabs>
          <w:tab w:val="left" w:pos="1637"/>
          <w:tab w:val="left" w:pos="1639"/>
        </w:tabs>
        <w:spacing w:before="7"/>
        <w:ind w:right="919"/>
        <w:jc w:val="both"/>
      </w:pPr>
      <w:r w:rsidRPr="00DF4746">
        <w:t>The annual statement together with the auditor’s certificate should be submitted to the school</w:t>
      </w:r>
      <w:r w:rsidRPr="00DF4746">
        <w:rPr>
          <w:spacing w:val="-2"/>
        </w:rPr>
        <w:t xml:space="preserve"> </w:t>
      </w:r>
      <w:r w:rsidRPr="00DF4746">
        <w:t>Governors/Managers.</w:t>
      </w:r>
    </w:p>
    <w:p w14:paraId="52BFCC48" w14:textId="378870B2" w:rsidR="006D724E" w:rsidRPr="00DF4746" w:rsidRDefault="009F37FD" w:rsidP="0067251B">
      <w:pPr>
        <w:pStyle w:val="ListParagraph"/>
        <w:numPr>
          <w:ilvl w:val="0"/>
          <w:numId w:val="8"/>
        </w:numPr>
        <w:tabs>
          <w:tab w:val="left" w:pos="1637"/>
          <w:tab w:val="left" w:pos="1639"/>
        </w:tabs>
        <w:spacing w:before="2"/>
        <w:ind w:right="919"/>
        <w:jc w:val="both"/>
      </w:pPr>
      <w:r w:rsidRPr="00DF4746">
        <w:t>A copy of the annual statement and auditor’s certificate should also be sent to the Director of Children</w:t>
      </w:r>
      <w:r w:rsidR="004F0FF6">
        <w:t>’</w:t>
      </w:r>
      <w:r w:rsidRPr="00DF4746">
        <w:t>s Services for information and audit</w:t>
      </w:r>
      <w:r w:rsidRPr="00DF4746">
        <w:rPr>
          <w:spacing w:val="-3"/>
        </w:rPr>
        <w:t xml:space="preserve"> </w:t>
      </w:r>
      <w:r w:rsidRPr="00DF4746">
        <w:t>purposes.</w:t>
      </w:r>
    </w:p>
    <w:p w14:paraId="7AB58F49" w14:textId="77777777" w:rsidR="0067251B" w:rsidRDefault="009F37FD" w:rsidP="0067251B">
      <w:pPr>
        <w:pStyle w:val="ListParagraph"/>
        <w:numPr>
          <w:ilvl w:val="0"/>
          <w:numId w:val="8"/>
        </w:numPr>
        <w:tabs>
          <w:tab w:val="left" w:pos="1637"/>
          <w:tab w:val="left" w:pos="1639"/>
        </w:tabs>
        <w:spacing w:before="4"/>
        <w:ind w:right="919"/>
        <w:jc w:val="both"/>
      </w:pPr>
      <w:r w:rsidRPr="00DF4746">
        <w:t>The Treasurer to the fund should retain, in safe custody, the annual statement together with vouchers, bank statements and other supporting records for the current year plus the previous three</w:t>
      </w:r>
      <w:r w:rsidRPr="00DF4746">
        <w:rPr>
          <w:spacing w:val="-2"/>
        </w:rPr>
        <w:t xml:space="preserve"> </w:t>
      </w:r>
      <w:r w:rsidRPr="00DF4746">
        <w:t>years.</w:t>
      </w:r>
    </w:p>
    <w:p w14:paraId="52BFCC4A" w14:textId="085837B5" w:rsidR="006D724E" w:rsidRPr="00DF4746" w:rsidRDefault="009F37FD" w:rsidP="0067251B">
      <w:pPr>
        <w:pStyle w:val="ListParagraph"/>
        <w:numPr>
          <w:ilvl w:val="0"/>
          <w:numId w:val="8"/>
        </w:numPr>
        <w:tabs>
          <w:tab w:val="left" w:pos="1637"/>
          <w:tab w:val="left" w:pos="1639"/>
        </w:tabs>
        <w:spacing w:before="4"/>
        <w:ind w:right="919"/>
        <w:jc w:val="both"/>
      </w:pPr>
      <w:r w:rsidRPr="00DF4746">
        <w:t xml:space="preserve">The postal address used on the account must </w:t>
      </w:r>
      <w:r w:rsidR="004F0FF6">
        <w:t xml:space="preserve">be </w:t>
      </w:r>
      <w:r w:rsidRPr="00DF4746">
        <w:t>the school</w:t>
      </w:r>
      <w:r w:rsidRPr="0067251B">
        <w:rPr>
          <w:spacing w:val="-6"/>
        </w:rPr>
        <w:t xml:space="preserve"> </w:t>
      </w:r>
      <w:r w:rsidRPr="00DF4746">
        <w:t>address.</w:t>
      </w:r>
    </w:p>
    <w:p w14:paraId="52BFCC4B" w14:textId="77777777" w:rsidR="006D724E" w:rsidRPr="00DF4746" w:rsidRDefault="006D724E">
      <w:pPr>
        <w:pStyle w:val="BodyText"/>
        <w:spacing w:before="1"/>
      </w:pPr>
    </w:p>
    <w:p w14:paraId="52BFCC4C" w14:textId="5156F72A" w:rsidR="006D724E" w:rsidRPr="00DF4746" w:rsidRDefault="009F37FD" w:rsidP="0067251B">
      <w:pPr>
        <w:pStyle w:val="BodyText"/>
        <w:ind w:left="917" w:right="918"/>
        <w:jc w:val="both"/>
      </w:pPr>
      <w:r w:rsidRPr="00DF4746">
        <w:t xml:space="preserve">The purpose of this provision is to allow the Local Authority to satisfy itself that public funds are not being misused. </w:t>
      </w:r>
      <w:r w:rsidR="00F8246E">
        <w:t xml:space="preserve"> </w:t>
      </w:r>
      <w:r w:rsidRPr="00DF4746">
        <w:t>Local Authorities may not seek to impose through the scheme a right to audit such funds themselves or otherwise access the accounts of private funds.</w:t>
      </w:r>
    </w:p>
    <w:p w14:paraId="52BFCC4D" w14:textId="77777777" w:rsidR="006D724E" w:rsidRPr="00DF4746" w:rsidRDefault="006D724E" w:rsidP="0067251B">
      <w:pPr>
        <w:pStyle w:val="BodyText"/>
        <w:tabs>
          <w:tab w:val="left" w:pos="10632"/>
        </w:tabs>
        <w:spacing w:before="1"/>
        <w:jc w:val="both"/>
      </w:pPr>
    </w:p>
    <w:p w14:paraId="52BFCC4E" w14:textId="77777777" w:rsidR="006D724E" w:rsidRPr="00DF4746" w:rsidRDefault="009F37FD" w:rsidP="0067251B">
      <w:pPr>
        <w:pStyle w:val="BodyText"/>
        <w:tabs>
          <w:tab w:val="left" w:pos="10773"/>
        </w:tabs>
        <w:ind w:left="917" w:right="918"/>
        <w:jc w:val="both"/>
      </w:pPr>
      <w:r w:rsidRPr="00DF4746">
        <w:t xml:space="preserve">A school refusing to provide audit certificates to the Local Authority as required by the scheme is in breach of the scheme and the Local Authority can </w:t>
      </w:r>
      <w:proofErr w:type="gramStart"/>
      <w:r w:rsidRPr="00DF4746">
        <w:t>take action</w:t>
      </w:r>
      <w:proofErr w:type="gramEnd"/>
      <w:r w:rsidRPr="00DF4746">
        <w:t xml:space="preserve"> on that basis.</w:t>
      </w:r>
    </w:p>
    <w:p w14:paraId="52BFCC4F" w14:textId="77777777" w:rsidR="006D724E" w:rsidRPr="00DF4746" w:rsidRDefault="006D724E" w:rsidP="0067251B">
      <w:pPr>
        <w:pStyle w:val="BodyText"/>
        <w:tabs>
          <w:tab w:val="left" w:pos="10632"/>
        </w:tabs>
        <w:spacing w:before="2"/>
      </w:pPr>
    </w:p>
    <w:p w14:paraId="52BFCC50" w14:textId="77777777" w:rsidR="006D724E" w:rsidRPr="00DF4746" w:rsidRDefault="009F37FD" w:rsidP="0067251B">
      <w:pPr>
        <w:pStyle w:val="BodyText"/>
        <w:tabs>
          <w:tab w:val="left" w:pos="10632"/>
        </w:tabs>
        <w:spacing w:before="1"/>
        <w:ind w:left="917" w:right="918"/>
        <w:jc w:val="both"/>
      </w:pPr>
      <w:r w:rsidRPr="00DF4746">
        <w:t>Further guidance in relation to voluntary funds has been produced by the Internal Audit section.</w:t>
      </w:r>
    </w:p>
    <w:p w14:paraId="52BFCC52" w14:textId="77777777" w:rsidR="006D724E" w:rsidRPr="0067251B" w:rsidRDefault="006D724E">
      <w:pPr>
        <w:pStyle w:val="BodyText"/>
        <w:spacing w:before="6"/>
        <w:rPr>
          <w:highlight w:val="yellow"/>
        </w:rPr>
      </w:pPr>
    </w:p>
    <w:p w14:paraId="52BFCC53" w14:textId="77777777" w:rsidR="006D724E" w:rsidRPr="00640AD7" w:rsidRDefault="009F37FD" w:rsidP="006D724E">
      <w:pPr>
        <w:pStyle w:val="Heading1"/>
        <w:numPr>
          <w:ilvl w:val="1"/>
          <w:numId w:val="9"/>
        </w:numPr>
        <w:tabs>
          <w:tab w:val="left" w:pos="1637"/>
          <w:tab w:val="left" w:pos="1639"/>
        </w:tabs>
        <w:spacing w:before="1"/>
      </w:pPr>
      <w:r w:rsidRPr="00640AD7">
        <w:t>Register of Business</w:t>
      </w:r>
      <w:r w:rsidRPr="00640AD7">
        <w:rPr>
          <w:spacing w:val="-1"/>
        </w:rPr>
        <w:t xml:space="preserve"> </w:t>
      </w:r>
      <w:r w:rsidRPr="00640AD7">
        <w:t>Interests</w:t>
      </w:r>
    </w:p>
    <w:p w14:paraId="52BFCC54" w14:textId="77777777" w:rsidR="006D724E" w:rsidRPr="00DF4746" w:rsidRDefault="009F37FD" w:rsidP="0067251B">
      <w:pPr>
        <w:pStyle w:val="BodyText"/>
        <w:spacing w:line="264" w:lineRule="auto"/>
        <w:ind w:left="917" w:right="918"/>
        <w:jc w:val="both"/>
      </w:pPr>
      <w:r w:rsidRPr="00DF4746">
        <w:t>The governing body of each school should establish a register of interests which lists for each member of the governing body and the head teacher:</w:t>
      </w:r>
    </w:p>
    <w:p w14:paraId="52BFCC55" w14:textId="0AF62743" w:rsidR="006D724E" w:rsidRPr="00DF4746" w:rsidRDefault="009F37FD" w:rsidP="0067251B">
      <w:pPr>
        <w:pStyle w:val="BodyText"/>
        <w:ind w:left="1638" w:right="918"/>
        <w:jc w:val="both"/>
      </w:pPr>
      <w:r w:rsidRPr="00DF4746">
        <w:t>•</w:t>
      </w:r>
      <w:r w:rsidR="0067251B">
        <w:tab/>
      </w:r>
      <w:r w:rsidRPr="00DF4746">
        <w:t xml:space="preserve">any business interests that they or any member of their immediate family </w:t>
      </w:r>
      <w:proofErr w:type="gramStart"/>
      <w:r w:rsidRPr="00DF4746">
        <w:t>have</w:t>
      </w:r>
      <w:proofErr w:type="gramEnd"/>
    </w:p>
    <w:p w14:paraId="52BFCC56" w14:textId="14D4DA08" w:rsidR="006D724E" w:rsidRPr="00DF4746" w:rsidRDefault="009F37FD" w:rsidP="0067251B">
      <w:pPr>
        <w:pStyle w:val="BodyText"/>
        <w:spacing w:before="25"/>
        <w:ind w:left="1638" w:right="918"/>
        <w:jc w:val="both"/>
      </w:pPr>
      <w:r w:rsidRPr="00DF4746">
        <w:t>•</w:t>
      </w:r>
      <w:r w:rsidR="0067251B">
        <w:tab/>
      </w:r>
      <w:r w:rsidRPr="00DF4746">
        <w:t>details of any other educational establishments that they govern</w:t>
      </w:r>
    </w:p>
    <w:p w14:paraId="52BFCC57" w14:textId="1054F4DB" w:rsidR="006D724E" w:rsidRPr="00DF4746" w:rsidRDefault="009F37FD" w:rsidP="0067251B">
      <w:pPr>
        <w:pStyle w:val="BodyText"/>
        <w:spacing w:before="26"/>
        <w:ind w:left="1638" w:right="918"/>
        <w:jc w:val="both"/>
      </w:pPr>
      <w:r w:rsidRPr="00DF4746">
        <w:t>•</w:t>
      </w:r>
      <w:r w:rsidR="0067251B">
        <w:tab/>
      </w:r>
      <w:r w:rsidRPr="00DF4746">
        <w:t>any relationships between school staff and members of the governing body</w:t>
      </w:r>
      <w:r w:rsidR="00F8246E">
        <w:t>.</w:t>
      </w:r>
    </w:p>
    <w:p w14:paraId="52BFCC58" w14:textId="77777777" w:rsidR="006D724E" w:rsidRPr="00DF4746" w:rsidRDefault="006D724E">
      <w:pPr>
        <w:pStyle w:val="BodyText"/>
        <w:spacing w:before="5"/>
      </w:pPr>
    </w:p>
    <w:p w14:paraId="52BFCC59" w14:textId="77777777" w:rsidR="006D724E" w:rsidRPr="00DF4746" w:rsidRDefault="009F37FD" w:rsidP="00B252F5">
      <w:pPr>
        <w:pStyle w:val="BodyText"/>
        <w:ind w:left="919" w:right="919"/>
        <w:jc w:val="both"/>
      </w:pPr>
      <w:r w:rsidRPr="00DF4746">
        <w:t>The register should be kept up to date with notification of changes and through annual review of entries, made available for inspection by governors, staff and parents, and the authority, and be published, for example on a publicly accessible website.</w:t>
      </w:r>
    </w:p>
    <w:p w14:paraId="508BE8E1" w14:textId="77777777" w:rsidR="0067251B" w:rsidRDefault="0067251B" w:rsidP="00B252F5">
      <w:pPr>
        <w:pStyle w:val="BodyText"/>
        <w:ind w:left="919" w:right="919"/>
        <w:jc w:val="both"/>
      </w:pPr>
    </w:p>
    <w:p w14:paraId="52BFCC5A" w14:textId="164AD9A2" w:rsidR="006D724E" w:rsidRPr="00DF4746" w:rsidRDefault="009F37FD" w:rsidP="00B252F5">
      <w:pPr>
        <w:pStyle w:val="BodyText"/>
        <w:ind w:left="919" w:right="919"/>
        <w:jc w:val="both"/>
      </w:pPr>
      <w:r w:rsidRPr="00DF4746">
        <w:t xml:space="preserve">The governing body should </w:t>
      </w:r>
      <w:proofErr w:type="gramStart"/>
      <w:r w:rsidRPr="00DF4746">
        <w:t>make arrangements</w:t>
      </w:r>
      <w:proofErr w:type="gramEnd"/>
      <w:r w:rsidRPr="00DF4746">
        <w:t xml:space="preserve"> to ensure that the register is kept up to date by requiring notification of changes and through annual review of entries.</w:t>
      </w:r>
    </w:p>
    <w:p w14:paraId="52BFCC5B" w14:textId="77777777" w:rsidR="006D724E" w:rsidRPr="00DF4746" w:rsidRDefault="006D724E" w:rsidP="00B252F5">
      <w:pPr>
        <w:pStyle w:val="BodyText"/>
        <w:spacing w:before="3"/>
        <w:ind w:right="919"/>
        <w:jc w:val="both"/>
      </w:pPr>
    </w:p>
    <w:p w14:paraId="52BFCC5C" w14:textId="40A22579" w:rsidR="006D724E" w:rsidRPr="00DF4746" w:rsidRDefault="009F37FD" w:rsidP="00B252F5">
      <w:pPr>
        <w:pStyle w:val="BodyText"/>
        <w:ind w:left="917" w:right="919"/>
        <w:jc w:val="both"/>
      </w:pPr>
      <w:r w:rsidRPr="00DF4746">
        <w:t>There should be an opportunity to declare business interest</w:t>
      </w:r>
      <w:r w:rsidR="00F8246E">
        <w:t>s</w:t>
      </w:r>
      <w:r w:rsidRPr="00DF4746">
        <w:t xml:space="preserve"> at the start of each </w:t>
      </w:r>
      <w:r w:rsidR="00F8246E">
        <w:t>governing b</w:t>
      </w:r>
      <w:r w:rsidRPr="00DF4746">
        <w:t>ody meeting.</w:t>
      </w:r>
    </w:p>
    <w:p w14:paraId="52BFCC5D" w14:textId="7F0F273F" w:rsidR="006D724E" w:rsidRPr="00193092" w:rsidRDefault="006D724E">
      <w:pPr>
        <w:pStyle w:val="BodyText"/>
        <w:spacing w:before="10"/>
      </w:pPr>
    </w:p>
    <w:p w14:paraId="52BFCC5E" w14:textId="77777777" w:rsidR="006D724E" w:rsidRPr="006E5211" w:rsidRDefault="009F37FD" w:rsidP="000D38F6">
      <w:pPr>
        <w:pStyle w:val="ListParagraph"/>
        <w:numPr>
          <w:ilvl w:val="1"/>
          <w:numId w:val="9"/>
        </w:numPr>
        <w:tabs>
          <w:tab w:val="left" w:pos="1639"/>
        </w:tabs>
        <w:ind w:left="1639" w:hanging="720"/>
        <w:rPr>
          <w:b/>
          <w:sz w:val="28"/>
        </w:rPr>
      </w:pPr>
      <w:r w:rsidRPr="006E5211">
        <w:rPr>
          <w:b/>
          <w:sz w:val="28"/>
        </w:rPr>
        <w:lastRenderedPageBreak/>
        <w:t>Purchasing, Tendering and Contracting</w:t>
      </w:r>
      <w:r w:rsidRPr="006E5211">
        <w:rPr>
          <w:b/>
          <w:spacing w:val="-3"/>
          <w:sz w:val="28"/>
        </w:rPr>
        <w:t xml:space="preserve"> </w:t>
      </w:r>
      <w:r w:rsidRPr="006E5211">
        <w:rPr>
          <w:b/>
          <w:sz w:val="28"/>
        </w:rPr>
        <w:t>Requirements</w:t>
      </w:r>
    </w:p>
    <w:p w14:paraId="52BFCC5F" w14:textId="636C9982" w:rsidR="006D724E" w:rsidRPr="00DF4746" w:rsidRDefault="009F37FD" w:rsidP="00B252F5">
      <w:pPr>
        <w:pStyle w:val="BodyText"/>
        <w:ind w:left="919" w:right="918"/>
        <w:jc w:val="both"/>
      </w:pPr>
      <w:r w:rsidRPr="00DF4746">
        <w:t>Each school shall abide by the Authority’s financial regul</w:t>
      </w:r>
      <w:r w:rsidR="00B252F5">
        <w:t xml:space="preserve">ations, (which can be found at </w:t>
      </w:r>
      <w:hyperlink r:id="rId13" w:history="1">
        <w:r w:rsidRPr="00DF4746">
          <w:t>www.tameside.gov.uk/constitution/part4b</w:t>
        </w:r>
      </w:hyperlink>
      <w:r w:rsidRPr="00DF4746">
        <w:t xml:space="preserve">), and Procurement Standing Orders / Contract Procedure Rules (which can be found at </w:t>
      </w:r>
      <w:hyperlink r:id="rId14" w:history="1">
        <w:r w:rsidRPr="00DF4746">
          <w:rPr>
            <w:rStyle w:val="Hyperlink"/>
          </w:rPr>
          <w:t>https://www.tameside.gov.uk/procurement</w:t>
        </w:r>
      </w:hyperlink>
      <w:r w:rsidRPr="00DF4746">
        <w:t xml:space="preserve"> or www.tameside.gov.uk/constitution/part4c) in as far as they are not contracted by the provisions of this clause, the outline of the contract values and appropriate process to follow can be found at </w:t>
      </w:r>
      <w:r w:rsidRPr="007201E9">
        <w:rPr>
          <w:b/>
        </w:rPr>
        <w:t>Appendix 2</w:t>
      </w:r>
      <w:r w:rsidRPr="00DF4746">
        <w:t>.</w:t>
      </w:r>
    </w:p>
    <w:p w14:paraId="52BFCC60" w14:textId="77777777" w:rsidR="006D724E" w:rsidRPr="00DF4746" w:rsidRDefault="006D724E" w:rsidP="006D724E">
      <w:pPr>
        <w:pStyle w:val="BodyText"/>
        <w:spacing w:line="264" w:lineRule="auto"/>
        <w:ind w:left="917" w:right="1514"/>
        <w:jc w:val="both"/>
      </w:pPr>
    </w:p>
    <w:p w14:paraId="52BFCC61" w14:textId="77777777" w:rsidR="006D724E" w:rsidRPr="00DF4746" w:rsidRDefault="009F37FD" w:rsidP="00B252F5">
      <w:pPr>
        <w:pStyle w:val="BodyText"/>
        <w:numPr>
          <w:ilvl w:val="0"/>
          <w:numId w:val="15"/>
        </w:numPr>
        <w:ind w:left="1633" w:right="918" w:hanging="357"/>
        <w:jc w:val="both"/>
      </w:pPr>
      <w:r w:rsidRPr="00DF4746">
        <w:t>In complying with the Authority’s Standing Orders / Procedure Rules, the school shall not do anything that is incompatible with the Public Contracts Regulations 2015 (or as may be amended from time to time) or is contrary to other legislation, (including EU whilst the UK remains within the EU).</w:t>
      </w:r>
    </w:p>
    <w:p w14:paraId="52BFCC62" w14:textId="77777777" w:rsidR="006D724E" w:rsidRPr="00DF4746" w:rsidRDefault="006D724E" w:rsidP="006D724E">
      <w:pPr>
        <w:pStyle w:val="BodyText"/>
        <w:spacing w:line="264" w:lineRule="auto"/>
        <w:ind w:left="1637" w:right="1514"/>
        <w:jc w:val="both"/>
      </w:pPr>
    </w:p>
    <w:p w14:paraId="52BFCC63" w14:textId="77777777" w:rsidR="006D724E" w:rsidRPr="00DF4746" w:rsidRDefault="009F37FD" w:rsidP="00B252F5">
      <w:pPr>
        <w:pStyle w:val="BodyText"/>
        <w:numPr>
          <w:ilvl w:val="0"/>
          <w:numId w:val="15"/>
        </w:numPr>
        <w:ind w:left="1633" w:right="918" w:hanging="357"/>
        <w:jc w:val="both"/>
      </w:pPr>
      <w:r w:rsidRPr="00DF4746">
        <w:t>Schools shall have freedom to place orders for goods and services without the need for a counter signature by an officer of the Authority unless the Authority has notified the school to the contrary in writing.</w:t>
      </w:r>
    </w:p>
    <w:p w14:paraId="52BFCC64" w14:textId="77777777" w:rsidR="006D724E" w:rsidRPr="00DF4746" w:rsidRDefault="006D724E" w:rsidP="006D724E">
      <w:pPr>
        <w:pStyle w:val="BodyText"/>
        <w:spacing w:line="264" w:lineRule="auto"/>
        <w:ind w:right="1514"/>
        <w:jc w:val="both"/>
      </w:pPr>
    </w:p>
    <w:p w14:paraId="52BFCC65" w14:textId="77777777" w:rsidR="006D724E" w:rsidRPr="00DF4746" w:rsidRDefault="009F37FD" w:rsidP="00B252F5">
      <w:pPr>
        <w:pStyle w:val="BodyText"/>
        <w:numPr>
          <w:ilvl w:val="0"/>
          <w:numId w:val="15"/>
        </w:numPr>
        <w:ind w:left="1633" w:right="918" w:hanging="357"/>
        <w:jc w:val="both"/>
      </w:pPr>
      <w:r w:rsidRPr="00DF4746">
        <w:t xml:space="preserve">The Authority shall make available to schools, details of the suppliers on its approved lists for various goods and services, for which the schools are able to access.  Schools shall have the freedom to use the approved suppliers or select their own.  They should, however, remember that as custodians of public monies they should ensure value for money with their purchasing decisions. </w:t>
      </w:r>
    </w:p>
    <w:p w14:paraId="52BFCC66" w14:textId="77777777" w:rsidR="006D724E" w:rsidRPr="00DF4746" w:rsidRDefault="006D724E" w:rsidP="006D724E">
      <w:pPr>
        <w:pStyle w:val="ListParagraph"/>
        <w:jc w:val="both"/>
      </w:pPr>
    </w:p>
    <w:p w14:paraId="52BFCC67" w14:textId="77777777" w:rsidR="006D724E" w:rsidRDefault="009F37FD" w:rsidP="000D38F6">
      <w:pPr>
        <w:pStyle w:val="CM14"/>
        <w:numPr>
          <w:ilvl w:val="0"/>
          <w:numId w:val="15"/>
        </w:numPr>
        <w:spacing w:line="240" w:lineRule="auto"/>
        <w:ind w:left="1633" w:right="919" w:hanging="357"/>
        <w:jc w:val="both"/>
        <w:rPr>
          <w:rFonts w:cs="Arial"/>
          <w:sz w:val="22"/>
          <w:szCs w:val="22"/>
        </w:rPr>
      </w:pPr>
      <w:r w:rsidRPr="00DF4746">
        <w:rPr>
          <w:rFonts w:cs="Arial"/>
          <w:sz w:val="22"/>
          <w:szCs w:val="22"/>
        </w:rPr>
        <w:t xml:space="preserve">For contracts with a value not </w:t>
      </w:r>
      <w:proofErr w:type="gramStart"/>
      <w:r w:rsidRPr="00DF4746">
        <w:rPr>
          <w:rFonts w:cs="Arial"/>
          <w:sz w:val="22"/>
          <w:szCs w:val="22"/>
        </w:rPr>
        <w:t>in excess of</w:t>
      </w:r>
      <w:proofErr w:type="gramEnd"/>
      <w:r w:rsidRPr="00DF4746">
        <w:rPr>
          <w:rFonts w:cs="Arial"/>
          <w:sz w:val="22"/>
          <w:szCs w:val="22"/>
        </w:rPr>
        <w:t xml:space="preserve"> £4,999.99, the school shall invite a minimum of 1 written quotation, by any means necessary.</w:t>
      </w:r>
    </w:p>
    <w:p w14:paraId="2805299F" w14:textId="77777777" w:rsidR="000D38F6" w:rsidRPr="000D38F6" w:rsidRDefault="000D38F6" w:rsidP="000D38F6">
      <w:pPr>
        <w:pStyle w:val="Default"/>
      </w:pPr>
    </w:p>
    <w:p w14:paraId="52BFCC68" w14:textId="1D7FBEDA" w:rsidR="006D724E" w:rsidRDefault="009F37FD" w:rsidP="000D38F6">
      <w:pPr>
        <w:pStyle w:val="CM14"/>
        <w:numPr>
          <w:ilvl w:val="0"/>
          <w:numId w:val="15"/>
        </w:numPr>
        <w:spacing w:line="240" w:lineRule="auto"/>
        <w:ind w:left="1633" w:right="919" w:hanging="357"/>
        <w:jc w:val="both"/>
        <w:rPr>
          <w:rFonts w:cs="Arial"/>
          <w:sz w:val="22"/>
          <w:szCs w:val="22"/>
        </w:rPr>
      </w:pPr>
      <w:r w:rsidRPr="00DF4746">
        <w:rPr>
          <w:rFonts w:cs="Arial"/>
          <w:sz w:val="22"/>
          <w:szCs w:val="22"/>
        </w:rPr>
        <w:t>For contracts w</w:t>
      </w:r>
      <w:r w:rsidR="00F8246E">
        <w:rPr>
          <w:rFonts w:cs="Arial"/>
          <w:sz w:val="22"/>
          <w:szCs w:val="22"/>
        </w:rPr>
        <w:t>ith a value of between £5,000 and</w:t>
      </w:r>
      <w:r w:rsidRPr="00DF4746">
        <w:rPr>
          <w:rFonts w:cs="Arial"/>
          <w:sz w:val="22"/>
          <w:szCs w:val="22"/>
        </w:rPr>
        <w:t xml:space="preserve"> £24,999.99, the school shall invite a minimum of 3 written quotes, by any means necessary, in accordance with the Authority’s guidance.</w:t>
      </w:r>
    </w:p>
    <w:p w14:paraId="6A732F85" w14:textId="77777777" w:rsidR="000D38F6" w:rsidRPr="000D38F6" w:rsidRDefault="000D38F6" w:rsidP="000D38F6">
      <w:pPr>
        <w:pStyle w:val="Default"/>
      </w:pPr>
    </w:p>
    <w:p w14:paraId="52BFCC69" w14:textId="3F7D5D54" w:rsidR="006D724E" w:rsidRDefault="009F37FD" w:rsidP="000D38F6">
      <w:pPr>
        <w:pStyle w:val="Default"/>
        <w:numPr>
          <w:ilvl w:val="0"/>
          <w:numId w:val="15"/>
        </w:numPr>
        <w:ind w:left="1633" w:right="919" w:hanging="357"/>
        <w:jc w:val="both"/>
        <w:rPr>
          <w:sz w:val="22"/>
          <w:szCs w:val="22"/>
        </w:rPr>
      </w:pPr>
      <w:r w:rsidRPr="00DF4746">
        <w:rPr>
          <w:sz w:val="22"/>
          <w:szCs w:val="22"/>
        </w:rPr>
        <w:t xml:space="preserve">For contracts with a value of £25,000 or more, but below the </w:t>
      </w:r>
      <w:hyperlink r:id="rId15" w:history="1">
        <w:r w:rsidRPr="00DF4746">
          <w:rPr>
            <w:rStyle w:val="Hyperlink"/>
            <w:sz w:val="22"/>
            <w:szCs w:val="22"/>
          </w:rPr>
          <w:t>value thresholds</w:t>
        </w:r>
      </w:hyperlink>
      <w:r w:rsidRPr="00DF4746">
        <w:rPr>
          <w:sz w:val="22"/>
          <w:szCs w:val="22"/>
        </w:rPr>
        <w:t xml:space="preserve"> that apply under the Public Contract Regulations 2015, schools shall follow the tendering procedures laid down in the Authority’s Procurement Standing Orders / Contract Procedure Rules and the guidance contained in the Procurement Handbook, and are able to seek professional advice from the STAR procurement website (</w:t>
      </w:r>
      <w:hyperlink r:id="rId16" w:history="1">
        <w:r w:rsidRPr="00DF4746">
          <w:rPr>
            <w:rStyle w:val="Hyperlink"/>
            <w:sz w:val="22"/>
            <w:szCs w:val="22"/>
          </w:rPr>
          <w:t>www.star-procurement.gov.uk</w:t>
        </w:r>
      </w:hyperlink>
      <w:r w:rsidRPr="00DF4746">
        <w:rPr>
          <w:sz w:val="22"/>
          <w:szCs w:val="22"/>
        </w:rPr>
        <w:t xml:space="preserve">) to ensure this happens.  (Guidance on the Tendering Process can be obtained, if required: </w:t>
      </w:r>
      <w:hyperlink r:id="rId17" w:history="1">
        <w:r w:rsidRPr="00DF4746">
          <w:rPr>
            <w:rStyle w:val="Hyperlink"/>
            <w:sz w:val="22"/>
            <w:szCs w:val="22"/>
          </w:rPr>
          <w:t>https://www.tameside.gov.uk/procurement</w:t>
        </w:r>
      </w:hyperlink>
      <w:r w:rsidR="003D00A1" w:rsidRPr="003D00A1">
        <w:rPr>
          <w:rStyle w:val="Hyperlink"/>
          <w:color w:val="auto"/>
          <w:sz w:val="22"/>
          <w:szCs w:val="22"/>
        </w:rPr>
        <w:t>)</w:t>
      </w:r>
      <w:r w:rsidRPr="00DF4746">
        <w:rPr>
          <w:sz w:val="22"/>
          <w:szCs w:val="22"/>
        </w:rPr>
        <w:t xml:space="preserve">. </w:t>
      </w:r>
    </w:p>
    <w:p w14:paraId="3E0ECD17" w14:textId="77777777" w:rsidR="000D38F6" w:rsidRDefault="000D38F6" w:rsidP="000D38F6">
      <w:pPr>
        <w:pStyle w:val="ListParagraph"/>
      </w:pPr>
    </w:p>
    <w:p w14:paraId="52BFCC6A" w14:textId="13D34679" w:rsidR="006D724E" w:rsidRPr="00DF4746" w:rsidRDefault="009F37FD" w:rsidP="00B252F5">
      <w:pPr>
        <w:pStyle w:val="BodyText"/>
        <w:ind w:left="919" w:right="918"/>
        <w:jc w:val="both"/>
      </w:pPr>
      <w:r w:rsidRPr="00DF4746">
        <w:t xml:space="preserve">Where the estimated expenditure of the total contract is likely to exceed the </w:t>
      </w:r>
      <w:hyperlink r:id="rId18" w:history="1">
        <w:r w:rsidRPr="00DF4746">
          <w:rPr>
            <w:rStyle w:val="Hyperlink"/>
          </w:rPr>
          <w:t>value thresholds</w:t>
        </w:r>
      </w:hyperlink>
      <w:r w:rsidRPr="00DF4746">
        <w:t xml:space="preserve"> that apply under the Public Contracts Regulations 2015 then the Public Contracts Regulations 2015 apply to the procurement activity. </w:t>
      </w:r>
      <w:r w:rsidR="003D00A1">
        <w:t xml:space="preserve"> </w:t>
      </w:r>
      <w:r w:rsidRPr="00DF4746">
        <w:t xml:space="preserve">Governing bodies are required to advertise as appropriate, as laid out in legislation. </w:t>
      </w:r>
      <w:r w:rsidR="003D00A1">
        <w:t xml:space="preserve"> </w:t>
      </w:r>
      <w:r w:rsidRPr="00DF4746">
        <w:t>Guidance can be obtained from the STAR Procurement website.</w:t>
      </w:r>
      <w:r w:rsidR="003D00A1">
        <w:t xml:space="preserve"> </w:t>
      </w:r>
      <w:r w:rsidRPr="00DF4746">
        <w:t xml:space="preserve"> Contracts must not be split </w:t>
      </w:r>
      <w:proofErr w:type="gramStart"/>
      <w:r w:rsidRPr="00DF4746">
        <w:t>in order to</w:t>
      </w:r>
      <w:proofErr w:type="gramEnd"/>
      <w:r w:rsidRPr="00DF4746">
        <w:t xml:space="preserve"> circumvent th</w:t>
      </w:r>
      <w:r w:rsidR="003D00A1">
        <w:t>e application of the Authority’s</w:t>
      </w:r>
      <w:r w:rsidRPr="00DF4746">
        <w:t xml:space="preserve"> rules or legislation to the procurement process.</w:t>
      </w:r>
    </w:p>
    <w:p w14:paraId="52BFCC6B" w14:textId="77777777" w:rsidR="006D724E" w:rsidRPr="00DF4746" w:rsidRDefault="006D724E" w:rsidP="00B252F5">
      <w:pPr>
        <w:pStyle w:val="BodyText"/>
        <w:ind w:left="919" w:right="918"/>
        <w:jc w:val="both"/>
      </w:pPr>
    </w:p>
    <w:p w14:paraId="52BFCC6C" w14:textId="738E991B" w:rsidR="006D724E" w:rsidRPr="00DF4746" w:rsidRDefault="009F37FD" w:rsidP="00B252F5">
      <w:pPr>
        <w:pStyle w:val="BodyText"/>
        <w:ind w:left="919" w:right="918"/>
        <w:jc w:val="both"/>
      </w:pPr>
      <w:r w:rsidRPr="00DF4746">
        <w:t>In all cases governors should record in the formal minutes of a full governors or subcommittee meeting which bid, if any, has been accepted and the reasons(s) for choosing the bid. Governors need not accept the lowest tender but should have regard to their responsibility in securing value for money in respect of expenditure of public funds, as</w:t>
      </w:r>
      <w:r w:rsidR="003D00A1">
        <w:t xml:space="preserve"> provided for in the Authority’s</w:t>
      </w:r>
      <w:r w:rsidRPr="00DF4746">
        <w:t xml:space="preserve"> Standing Orders / Procedure Rules.</w:t>
      </w:r>
    </w:p>
    <w:p w14:paraId="52BFCC6D" w14:textId="77777777" w:rsidR="006D724E" w:rsidRPr="00DF4746" w:rsidRDefault="006D724E" w:rsidP="006D724E">
      <w:pPr>
        <w:pStyle w:val="BodyText"/>
        <w:spacing w:line="264" w:lineRule="auto"/>
        <w:ind w:left="917" w:right="1324"/>
        <w:jc w:val="both"/>
      </w:pPr>
    </w:p>
    <w:p w14:paraId="52BFCC6E" w14:textId="5F7B2346" w:rsidR="006D724E" w:rsidRPr="00DF4746" w:rsidRDefault="009F37FD" w:rsidP="00B252F5">
      <w:pPr>
        <w:pStyle w:val="BodyText"/>
        <w:ind w:left="917" w:right="919"/>
        <w:jc w:val="both"/>
      </w:pPr>
      <w:r w:rsidRPr="00DF4746">
        <w:t>Any appointed agent acting on the schools behalf must also follow the Council’s Standing Orders / Procedure Rules.</w:t>
      </w:r>
      <w:r w:rsidR="003D00A1">
        <w:t xml:space="preserve"> </w:t>
      </w:r>
      <w:r w:rsidRPr="00DF4746">
        <w:t xml:space="preserve"> If the contract is over more than one year the value may not be spli</w:t>
      </w:r>
      <w:r w:rsidR="003D00A1">
        <w:t xml:space="preserve">t </w:t>
      </w:r>
      <w:proofErr w:type="gramStart"/>
      <w:r w:rsidR="003D00A1">
        <w:t>in order to</w:t>
      </w:r>
      <w:proofErr w:type="gramEnd"/>
      <w:r w:rsidR="003D00A1">
        <w:t xml:space="preserve"> circumvent these r</w:t>
      </w:r>
      <w:r w:rsidRPr="00DF4746">
        <w:t>equirements</w:t>
      </w:r>
    </w:p>
    <w:p w14:paraId="4094A91A" w14:textId="77777777" w:rsidR="003D00A1" w:rsidRDefault="003D00A1" w:rsidP="00B252F5">
      <w:pPr>
        <w:pStyle w:val="BodyText"/>
        <w:ind w:left="917" w:right="919"/>
        <w:jc w:val="both"/>
      </w:pPr>
    </w:p>
    <w:p w14:paraId="52BFCC70" w14:textId="77777777" w:rsidR="006D724E" w:rsidRPr="00DF4746" w:rsidRDefault="009F37FD" w:rsidP="00B252F5">
      <w:pPr>
        <w:pStyle w:val="BodyText"/>
        <w:ind w:left="917" w:right="919"/>
        <w:jc w:val="both"/>
      </w:pPr>
      <w:r w:rsidRPr="00DF4746">
        <w:t xml:space="preserve">The school shall take account of the Authority’s policies and procedures in assessing the health and safety competence of contractors as part of the tendering process i.e. in advance of the award of a </w:t>
      </w:r>
      <w:r w:rsidRPr="00DF4746">
        <w:lastRenderedPageBreak/>
        <w:t>contract.</w:t>
      </w:r>
    </w:p>
    <w:p w14:paraId="52BFCC71" w14:textId="77777777" w:rsidR="006D724E" w:rsidRPr="00DF4746" w:rsidRDefault="006D724E" w:rsidP="00B252F5">
      <w:pPr>
        <w:pStyle w:val="BodyText"/>
        <w:ind w:left="917" w:right="919"/>
        <w:jc w:val="both"/>
      </w:pPr>
    </w:p>
    <w:p w14:paraId="52BFCC72" w14:textId="4EC1801A" w:rsidR="006D724E" w:rsidRPr="00DF4746" w:rsidRDefault="009F37FD" w:rsidP="00B252F5">
      <w:pPr>
        <w:pStyle w:val="BodyText"/>
        <w:ind w:left="917" w:right="919"/>
        <w:jc w:val="both"/>
        <w:rPr>
          <w:color w:val="0462C1"/>
          <w:u w:val="single" w:color="0462C1"/>
        </w:rPr>
      </w:pPr>
      <w:r w:rsidRPr="00DF4746">
        <w:t xml:space="preserve">More detailed guidance on purchasing, tendering and contracting requirements can be found </w:t>
      </w:r>
      <w:hyperlink r:id="rId19" w:history="1">
        <w:r w:rsidRPr="00DF4746">
          <w:rPr>
            <w:rStyle w:val="Hyperlink"/>
          </w:rPr>
          <w:t>https://www.tameside.gov.uk/procurement</w:t>
        </w:r>
      </w:hyperlink>
      <w:r w:rsidRPr="00DF4746">
        <w:t xml:space="preserve">.  Schools may seek advice on a range of compliant deals via </w:t>
      </w:r>
      <w:r w:rsidR="003D00A1">
        <w:t>B</w:t>
      </w:r>
      <w:r w:rsidR="003D00A1" w:rsidRPr="00DF4746">
        <w:t>uying</w:t>
      </w:r>
      <w:r w:rsidR="003D00A1">
        <w:t xml:space="preserve"> for S</w:t>
      </w:r>
      <w:r w:rsidRPr="00DF4746">
        <w:t>chools</w:t>
      </w:r>
      <w:r w:rsidR="003D00A1">
        <w:t>,</w:t>
      </w:r>
      <w:r w:rsidRPr="00DF4746">
        <w:t xml:space="preserve"> a DfE website </w:t>
      </w:r>
      <w:hyperlink r:id="rId20" w:history="1">
        <w:r w:rsidRPr="00DF4746">
          <w:rPr>
            <w:color w:val="0462C1"/>
            <w:u w:val="single" w:color="0462C1"/>
          </w:rPr>
          <w:t>https://www.gov.uk/guidance/buying-for-schools</w:t>
        </w:r>
      </w:hyperlink>
      <w:r w:rsidRPr="00DF4746">
        <w:rPr>
          <w:color w:val="0462C1"/>
          <w:u w:val="single" w:color="0462C1"/>
        </w:rPr>
        <w:t xml:space="preserve">. </w:t>
      </w:r>
    </w:p>
    <w:p w14:paraId="52BFCC73" w14:textId="77777777" w:rsidR="006D724E" w:rsidRPr="000D38F6" w:rsidRDefault="006D724E" w:rsidP="00B252F5">
      <w:pPr>
        <w:pStyle w:val="BodyText"/>
        <w:ind w:left="917" w:right="919"/>
        <w:jc w:val="both"/>
        <w:rPr>
          <w:u w:val="single" w:color="0462C1"/>
        </w:rPr>
      </w:pPr>
    </w:p>
    <w:p w14:paraId="52BFCC74" w14:textId="77777777" w:rsidR="006D724E" w:rsidRDefault="009F37FD" w:rsidP="00B252F5">
      <w:pPr>
        <w:pStyle w:val="BodyText"/>
        <w:ind w:left="917" w:right="919"/>
        <w:jc w:val="both"/>
      </w:pPr>
      <w:r w:rsidRPr="00DF4746">
        <w:rPr>
          <w:color w:val="0462C1"/>
          <w:u w:val="single" w:color="0462C1"/>
        </w:rPr>
        <w:t xml:space="preserve">Schools may buy into the STAR Procurement SLA for general advice on their procurement queries, </w:t>
      </w:r>
      <w:r w:rsidRPr="00DF4746">
        <w:t xml:space="preserve">if they wish to engage STAR to lead/support them with a piece of procurement, they can contact STAR on </w:t>
      </w:r>
      <w:hyperlink r:id="rId21" w:history="1">
        <w:r w:rsidRPr="00DF4746">
          <w:rPr>
            <w:rStyle w:val="Hyperlink"/>
          </w:rPr>
          <w:t>bids@star-procurement.gov.uk</w:t>
        </w:r>
      </w:hyperlink>
      <w:r w:rsidRPr="00DF4746">
        <w:t xml:space="preserve"> for a quotation.</w:t>
      </w:r>
    </w:p>
    <w:p w14:paraId="52BFCC75" w14:textId="77777777" w:rsidR="006D724E" w:rsidRDefault="006D724E" w:rsidP="00B252F5">
      <w:pPr>
        <w:pStyle w:val="BodyText"/>
        <w:ind w:left="917" w:right="919"/>
        <w:jc w:val="both"/>
      </w:pPr>
    </w:p>
    <w:p w14:paraId="52BFCC76" w14:textId="7EF71BF1" w:rsidR="006D724E" w:rsidRPr="00F678B3" w:rsidRDefault="009F37FD" w:rsidP="00B252F5">
      <w:pPr>
        <w:pStyle w:val="BodyText"/>
        <w:ind w:left="851" w:right="919"/>
        <w:jc w:val="both"/>
      </w:pPr>
      <w:r w:rsidRPr="00F678B3">
        <w:rPr>
          <w:lang w:val="en"/>
        </w:rPr>
        <w:t xml:space="preserve">Schools may seek advice on a range of compliantly procured deals via </w:t>
      </w:r>
      <w:hyperlink r:id="rId22" w:history="1">
        <w:r w:rsidRPr="00F678B3">
          <w:rPr>
            <w:color w:val="0000FF"/>
            <w:u w:val="single"/>
            <w:lang w:val="en"/>
          </w:rPr>
          <w:t>Buying for schools</w:t>
        </w:r>
      </w:hyperlink>
      <w:r w:rsidR="00F678B3" w:rsidRPr="00F678B3">
        <w:rPr>
          <w:lang w:val="en"/>
        </w:rPr>
        <w:t>.</w:t>
      </w:r>
    </w:p>
    <w:p w14:paraId="52BFCC77" w14:textId="77777777" w:rsidR="006D724E" w:rsidRPr="00B252F5" w:rsidRDefault="006D724E" w:rsidP="006D724E">
      <w:pPr>
        <w:pStyle w:val="BodyText"/>
        <w:ind w:left="851"/>
        <w:jc w:val="both"/>
      </w:pPr>
    </w:p>
    <w:p w14:paraId="52BFCC78" w14:textId="77777777" w:rsidR="006D724E" w:rsidRPr="006E5211" w:rsidRDefault="009F37FD" w:rsidP="006D724E">
      <w:pPr>
        <w:pStyle w:val="ListParagraph"/>
        <w:numPr>
          <w:ilvl w:val="1"/>
          <w:numId w:val="9"/>
        </w:numPr>
        <w:tabs>
          <w:tab w:val="left" w:pos="1639"/>
        </w:tabs>
        <w:spacing w:before="71"/>
        <w:jc w:val="both"/>
        <w:rPr>
          <w:b/>
          <w:sz w:val="28"/>
        </w:rPr>
      </w:pPr>
      <w:r w:rsidRPr="006E5211">
        <w:rPr>
          <w:b/>
          <w:sz w:val="28"/>
        </w:rPr>
        <w:t>Application of Contracts to</w:t>
      </w:r>
      <w:r w:rsidRPr="006E5211">
        <w:rPr>
          <w:b/>
          <w:spacing w:val="-6"/>
          <w:sz w:val="28"/>
        </w:rPr>
        <w:t xml:space="preserve"> </w:t>
      </w:r>
      <w:r w:rsidRPr="006E5211">
        <w:rPr>
          <w:b/>
          <w:sz w:val="28"/>
        </w:rPr>
        <w:t>Schools</w:t>
      </w:r>
    </w:p>
    <w:p w14:paraId="52BFCC79" w14:textId="088338CD" w:rsidR="006D724E" w:rsidRPr="00DF4746" w:rsidRDefault="009F37FD" w:rsidP="00B252F5">
      <w:pPr>
        <w:pStyle w:val="BodyText"/>
        <w:ind w:left="919" w:right="918"/>
        <w:jc w:val="both"/>
      </w:pPr>
      <w:r w:rsidRPr="00DF4746">
        <w:t>Schools can elect to utilise a contract negotiated by the Authority for which the school makes payment from i</w:t>
      </w:r>
      <w:r w:rsidR="003D00A1">
        <w:t>ts delegated budget.  Although g</w:t>
      </w:r>
      <w:r w:rsidRPr="00DF4746">
        <w:t xml:space="preserve">overning </w:t>
      </w:r>
      <w:r w:rsidR="003D00A1">
        <w:t>b</w:t>
      </w:r>
      <w:r w:rsidRPr="00DF4746">
        <w:t xml:space="preserve">odies are empowered under paragraph 3 of schedule 1 to the Education Act 2002 to </w:t>
      </w:r>
      <w:proofErr w:type="gramStart"/>
      <w:r w:rsidRPr="00DF4746">
        <w:t>enter into</w:t>
      </w:r>
      <w:proofErr w:type="gramEnd"/>
      <w:r w:rsidRPr="00DF4746">
        <w:t xml:space="preserve"> contracts, in most cases they do so on behalf of the Authority as maintainer of the school and the owner of the funds in the budget share.  Other contracts may be made solely on behalf of the </w:t>
      </w:r>
      <w:r w:rsidR="003D00A1">
        <w:t>governing b</w:t>
      </w:r>
      <w:r w:rsidRPr="00DF4746">
        <w:t xml:space="preserve">ody, when the </w:t>
      </w:r>
      <w:r w:rsidR="003D00A1">
        <w:t>governing b</w:t>
      </w:r>
      <w:r w:rsidRPr="00DF4746">
        <w:t>ody has clear statutory obligations – for example, contracts made by aided or foundation schools for the employment of staff.</w:t>
      </w:r>
    </w:p>
    <w:p w14:paraId="52BFCC7A" w14:textId="77777777" w:rsidR="006D724E" w:rsidRPr="006E5211" w:rsidRDefault="006D724E" w:rsidP="006D724E">
      <w:pPr>
        <w:jc w:val="both"/>
      </w:pPr>
    </w:p>
    <w:p w14:paraId="52BFCC7B" w14:textId="77777777" w:rsidR="006D724E" w:rsidRPr="006E5211" w:rsidRDefault="009F37FD" w:rsidP="006D724E">
      <w:pPr>
        <w:pStyle w:val="Heading1"/>
        <w:numPr>
          <w:ilvl w:val="1"/>
          <w:numId w:val="9"/>
        </w:numPr>
        <w:tabs>
          <w:tab w:val="left" w:pos="1639"/>
        </w:tabs>
      </w:pPr>
      <w:r w:rsidRPr="006E5211">
        <w:t>Central Funds and</w:t>
      </w:r>
      <w:r w:rsidRPr="006E5211">
        <w:rPr>
          <w:spacing w:val="-1"/>
        </w:rPr>
        <w:t xml:space="preserve"> </w:t>
      </w:r>
      <w:r w:rsidRPr="006E5211">
        <w:t>Earmarking</w:t>
      </w:r>
    </w:p>
    <w:p w14:paraId="52BFCC7C" w14:textId="721F409D" w:rsidR="006D724E" w:rsidRPr="00DF4746" w:rsidRDefault="009F37FD" w:rsidP="00B252F5">
      <w:pPr>
        <w:pStyle w:val="BodyText"/>
        <w:ind w:left="919" w:right="918"/>
        <w:jc w:val="both"/>
      </w:pPr>
      <w:r w:rsidRPr="00DF4746">
        <w:t xml:space="preserve">The Authority shall have the power to make additional funds available to schools on an earmarked basis.  Such allocations might, for example, be sums for pupils with special educational needs or other initiatives funded from the central expenditure of the </w:t>
      </w:r>
      <w:r w:rsidR="003D00A1">
        <w:t>s</w:t>
      </w:r>
      <w:r w:rsidRPr="00DF4746">
        <w:t>chool</w:t>
      </w:r>
      <w:r w:rsidR="003D00A1">
        <w:t>’</w:t>
      </w:r>
      <w:r w:rsidRPr="00DF4746">
        <w:t xml:space="preserve">s </w:t>
      </w:r>
      <w:r w:rsidR="003D00A1">
        <w:t>b</w:t>
      </w:r>
      <w:r w:rsidRPr="00DF4746">
        <w:t>udget or other Authority budget.  These funds shall be added to the school</w:t>
      </w:r>
      <w:r w:rsidR="003D00A1">
        <w:t>’</w:t>
      </w:r>
      <w:r w:rsidRPr="00DF4746">
        <w:t xml:space="preserve">s </w:t>
      </w:r>
      <w:proofErr w:type="gramStart"/>
      <w:r w:rsidRPr="00DF4746">
        <w:t>budget</w:t>
      </w:r>
      <w:proofErr w:type="gramEnd"/>
      <w:r w:rsidRPr="00DF4746">
        <w:t xml:space="preserve"> and the cash advance calculation will be amended as necessary.  These funds shall be used by the school in accordance with the purpose for which the funds were allocated.  As part of this process, the school shall retain sufficient records to be able to account for the funds and demonstrate that they have been spent for the purposes so allocated.  Schools shall have the ability to vire earmarked funds within the area for which the funds were delegated, except where funds are supported by specific grant, which does not permit virement.  Schools shall not be permitted to vire these funds into the main school budget share.  The terms under which earmarked funds are allocated to schools may include a requirement for schools to repay at year end or within the period allowed, any unspent funding.  This will not be a universal condition but will vary with the different types of funding allocated and schools shall be notified as part of </w:t>
      </w:r>
      <w:r w:rsidR="003D00A1">
        <w:t xml:space="preserve">the </w:t>
      </w:r>
      <w:r w:rsidRPr="00DF4746">
        <w:t>allocation process on the ability to carry forward any unspent balances.  The Authority will make no deduction in respect of interest costs relating to the payment of devolved or special grants.</w:t>
      </w:r>
    </w:p>
    <w:p w14:paraId="52BFCC7D" w14:textId="77777777" w:rsidR="006D724E" w:rsidRPr="00F16A53" w:rsidRDefault="006D724E" w:rsidP="006D724E">
      <w:pPr>
        <w:pStyle w:val="BodyText"/>
        <w:spacing w:line="264" w:lineRule="auto"/>
        <w:ind w:left="917" w:right="1324"/>
        <w:jc w:val="both"/>
      </w:pPr>
    </w:p>
    <w:p w14:paraId="52BFCC7E" w14:textId="77777777" w:rsidR="006D724E" w:rsidRPr="00F16A53" w:rsidRDefault="009F37FD" w:rsidP="006D724E">
      <w:pPr>
        <w:pStyle w:val="Heading1"/>
        <w:numPr>
          <w:ilvl w:val="1"/>
          <w:numId w:val="9"/>
        </w:numPr>
        <w:tabs>
          <w:tab w:val="left" w:pos="1639"/>
        </w:tabs>
      </w:pPr>
      <w:r w:rsidRPr="00F16A53">
        <w:t>Spending for the Purposes of the</w:t>
      </w:r>
      <w:r w:rsidRPr="00F16A53">
        <w:rPr>
          <w:spacing w:val="-7"/>
        </w:rPr>
        <w:t xml:space="preserve"> </w:t>
      </w:r>
      <w:r w:rsidRPr="00F16A53">
        <w:t>School</w:t>
      </w:r>
    </w:p>
    <w:p w14:paraId="52BFCC7F" w14:textId="2F18B7EB" w:rsidR="006D724E" w:rsidRPr="00DF4746" w:rsidRDefault="009F37FD" w:rsidP="00B252F5">
      <w:pPr>
        <w:pStyle w:val="BodyText"/>
        <w:ind w:left="919" w:right="918"/>
        <w:jc w:val="both"/>
      </w:pPr>
      <w:r w:rsidRPr="00DF4746">
        <w:t xml:space="preserve">Although s.50(3) of the School Standards and Framework Act 1998 (the Act) allows </w:t>
      </w:r>
      <w:r w:rsidR="003D00A1">
        <w:t>g</w:t>
      </w:r>
      <w:r w:rsidRPr="00DF4746">
        <w:t xml:space="preserve">overning </w:t>
      </w:r>
      <w:r w:rsidR="003D00A1">
        <w:t>b</w:t>
      </w:r>
      <w:r w:rsidRPr="00DF4746">
        <w:t>odies to spend their budget shares for the purposes of the school, this is subject to regulations made by the Secretary of State and any provisions of the scheme.  By virtue of Section 50(3</w:t>
      </w:r>
      <w:r w:rsidR="003D00A1">
        <w:t>A) of the Act amounts spent by g</w:t>
      </w:r>
      <w:r w:rsidRPr="00DF4746">
        <w:t xml:space="preserve">overning </w:t>
      </w:r>
      <w:r w:rsidR="003D00A1">
        <w:t>b</w:t>
      </w:r>
      <w:r w:rsidRPr="00DF4746">
        <w:t xml:space="preserve">odies on community facilities or services under </w:t>
      </w:r>
      <w:r w:rsidR="003D00A1">
        <w:t>s</w:t>
      </w:r>
      <w:r w:rsidRPr="00DF4746">
        <w:t xml:space="preserve">ection 27 of the Education Act 2002, will be treated as if spent for any purposes of the school.  See </w:t>
      </w:r>
      <w:r w:rsidRPr="007201E9">
        <w:rPr>
          <w:b/>
        </w:rPr>
        <w:t>Appendix 5</w:t>
      </w:r>
      <w:r w:rsidR="007201E9">
        <w:rPr>
          <w:b/>
        </w:rPr>
        <w:t>.</w:t>
      </w:r>
    </w:p>
    <w:p w14:paraId="52BFCC80" w14:textId="77777777" w:rsidR="006D724E" w:rsidRPr="00DF4746" w:rsidRDefault="006D724E" w:rsidP="00B252F5">
      <w:pPr>
        <w:pStyle w:val="BodyText"/>
        <w:ind w:left="919" w:right="1327"/>
        <w:jc w:val="both"/>
      </w:pPr>
    </w:p>
    <w:p w14:paraId="52BFCC81" w14:textId="77777777" w:rsidR="006D724E" w:rsidRPr="00DF4746" w:rsidRDefault="009F37FD" w:rsidP="00B252F5">
      <w:pPr>
        <w:pStyle w:val="BodyText"/>
        <w:ind w:left="919" w:right="918"/>
        <w:jc w:val="both"/>
      </w:pPr>
      <w:r w:rsidRPr="00DF4746">
        <w:t xml:space="preserve">Under </w:t>
      </w:r>
      <w:r w:rsidRPr="00BA5065">
        <w:t>s.50</w:t>
      </w:r>
      <w:r w:rsidRPr="00DF4746">
        <w:t xml:space="preserve">(3)(b) of the Act the Secretary of State may prescribe additional purposes for which expenditure of the budget share may occur.  He has done so in the School Budget Shares (Prescribed </w:t>
      </w:r>
      <w:proofErr w:type="gramStart"/>
      <w:r w:rsidRPr="00DF4746">
        <w:t>Purposes)(</w:t>
      </w:r>
      <w:proofErr w:type="gramEnd"/>
      <w:r w:rsidRPr="00DF4746">
        <w:t xml:space="preserve">England) Regulations 2002 (SI 2002/378), which have been amended by the School Budget Shares (Prescribed </w:t>
      </w:r>
      <w:proofErr w:type="gramStart"/>
      <w:r w:rsidRPr="00DF4746">
        <w:t>Purposes)(</w:t>
      </w:r>
      <w:proofErr w:type="gramEnd"/>
      <w:r w:rsidRPr="00DF4746">
        <w:t xml:space="preserve">England)(Amendment) Regulations 2010 (SI 2010/190).  These allow schools to spend their budgets on pupils who are on the </w:t>
      </w:r>
      <w:proofErr w:type="spellStart"/>
      <w:r w:rsidRPr="00DF4746">
        <w:t>roll</w:t>
      </w:r>
      <w:proofErr w:type="spellEnd"/>
      <w:r w:rsidRPr="00DF4746">
        <w:t xml:space="preserve"> of other maintained schools or academies.</w:t>
      </w:r>
    </w:p>
    <w:p w14:paraId="52BFCC82" w14:textId="77777777" w:rsidR="006D724E" w:rsidRPr="00DF4746" w:rsidRDefault="006D724E" w:rsidP="00B252F5">
      <w:pPr>
        <w:pStyle w:val="BodyText"/>
        <w:ind w:left="919" w:right="1327"/>
        <w:jc w:val="both"/>
      </w:pPr>
    </w:p>
    <w:p w14:paraId="52BFCC83" w14:textId="61660169" w:rsidR="006D724E" w:rsidRPr="00DF4746" w:rsidRDefault="009F37FD" w:rsidP="00B252F5">
      <w:pPr>
        <w:pStyle w:val="BodyText"/>
        <w:ind w:left="919" w:right="918"/>
        <w:jc w:val="both"/>
      </w:pPr>
      <w:r w:rsidRPr="00DF4746">
        <w:t>Governing bodies are reminded expenses incurred in connection with staff farewell celebrations and other social events shall not be funded from t</w:t>
      </w:r>
      <w:r w:rsidR="00B252F5">
        <w:t xml:space="preserve">he school’s delegated budget.  </w:t>
      </w:r>
      <w:r w:rsidRPr="00DF4746">
        <w:t xml:space="preserve">On no account should schools either mix funds that should be properly accounted for within the mainstream bank account (school budget share) with those in the school fund or any other account, or vice versa nor should they hold any other accounts that are not agreed in advance with the Council. </w:t>
      </w:r>
    </w:p>
    <w:p w14:paraId="52BFCC84" w14:textId="77777777" w:rsidR="006D724E" w:rsidRPr="0017132A" w:rsidRDefault="006D724E" w:rsidP="006D724E">
      <w:pPr>
        <w:pStyle w:val="BodyText"/>
        <w:spacing w:line="264" w:lineRule="auto"/>
        <w:ind w:left="917" w:right="1324"/>
        <w:jc w:val="both"/>
      </w:pPr>
    </w:p>
    <w:p w14:paraId="52BFCC85" w14:textId="77777777" w:rsidR="006D724E" w:rsidRPr="00BE33F7" w:rsidRDefault="009F37FD" w:rsidP="006D724E">
      <w:pPr>
        <w:pStyle w:val="Heading1"/>
        <w:numPr>
          <w:ilvl w:val="1"/>
          <w:numId w:val="9"/>
        </w:numPr>
        <w:tabs>
          <w:tab w:val="left" w:pos="1639"/>
        </w:tabs>
        <w:spacing w:before="1"/>
      </w:pPr>
      <w:r w:rsidRPr="00BE33F7">
        <w:t>Capital Spending from Budget</w:t>
      </w:r>
      <w:r w:rsidRPr="00BE33F7">
        <w:rPr>
          <w:spacing w:val="-2"/>
        </w:rPr>
        <w:t xml:space="preserve"> </w:t>
      </w:r>
      <w:r w:rsidRPr="00BE33F7">
        <w:t>Shares</w:t>
      </w:r>
    </w:p>
    <w:p w14:paraId="52BFCC86" w14:textId="041CD01A" w:rsidR="006D724E" w:rsidRPr="00DF4746" w:rsidRDefault="009F37FD" w:rsidP="00B252F5">
      <w:pPr>
        <w:pStyle w:val="BodyText"/>
        <w:ind w:left="917" w:right="918"/>
        <w:jc w:val="both"/>
      </w:pPr>
      <w:r w:rsidRPr="00DF4746">
        <w:t>Schools shall be permitted to spend an element of their budget and/or retained balances on capital proposals.  Where the cost of a school's capital proposals exceeds £10,000, the school shall notify the Authority of the proposals.  The school shall seek advice from the Director of Children</w:t>
      </w:r>
      <w:r w:rsidR="003D00A1">
        <w:t>’</w:t>
      </w:r>
      <w:r w:rsidRPr="00DF4746">
        <w:t xml:space="preserve">s Services where the cost of its proposals exceed £10,000 (inclusive of any irrecoverable VAT) as to the merits of the proposed expenditure and shall take this advice into account in proceeding with the proposals.  </w:t>
      </w:r>
    </w:p>
    <w:p w14:paraId="52BFCC87" w14:textId="77777777" w:rsidR="006D724E" w:rsidRPr="00DF4746" w:rsidRDefault="006D724E" w:rsidP="00B252F5">
      <w:pPr>
        <w:pStyle w:val="BodyText"/>
        <w:ind w:left="917" w:right="918"/>
        <w:jc w:val="both"/>
      </w:pPr>
    </w:p>
    <w:p w14:paraId="52BFCC88" w14:textId="7B7C564C" w:rsidR="006D724E" w:rsidRPr="00DF4746" w:rsidRDefault="009F37FD" w:rsidP="00B252F5">
      <w:pPr>
        <w:pStyle w:val="BodyText"/>
        <w:ind w:left="917" w:right="918"/>
        <w:jc w:val="both"/>
      </w:pPr>
      <w:r w:rsidRPr="00DF4746">
        <w:t>If the premises are owned by the Authority, or the school has volunta</w:t>
      </w:r>
      <w:r w:rsidR="003D00A1">
        <w:t>ry controlled status, then the governing b</w:t>
      </w:r>
      <w:r w:rsidRPr="00DF4746">
        <w:t>ody should seek the consent of the Authority to the proposed works, but such consent can be withheld only on health and safety grounds.</w:t>
      </w:r>
    </w:p>
    <w:p w14:paraId="52BFCC89" w14:textId="77777777" w:rsidR="006D724E" w:rsidRPr="00DF4746" w:rsidRDefault="006D724E" w:rsidP="00B252F5">
      <w:pPr>
        <w:pStyle w:val="BodyText"/>
        <w:spacing w:before="11"/>
        <w:ind w:right="918"/>
      </w:pPr>
    </w:p>
    <w:p w14:paraId="52BFCC8A" w14:textId="77777777" w:rsidR="006D724E" w:rsidRPr="00DF4746" w:rsidRDefault="009F37FD" w:rsidP="00B252F5">
      <w:pPr>
        <w:pStyle w:val="BodyText"/>
        <w:ind w:left="917" w:right="918"/>
      </w:pPr>
      <w:r w:rsidRPr="00DF4746">
        <w:t>The reason for these provisions is to help meet responsibilities with the School Premises (England) Regulations 2012, the Workplace (Health, Safety and Welfare) Regulations 1992, the Regulatory Reform (Fire Safety) Order 2005, the Equality Act 2010, and the Building Regulations 2010.</w:t>
      </w:r>
    </w:p>
    <w:p w14:paraId="52BFCC8B" w14:textId="77777777" w:rsidR="006D724E" w:rsidRPr="00DF4746" w:rsidRDefault="006D724E" w:rsidP="00B252F5">
      <w:pPr>
        <w:pStyle w:val="BodyText"/>
        <w:spacing w:before="1"/>
        <w:ind w:right="918"/>
      </w:pPr>
    </w:p>
    <w:p w14:paraId="52BFCC8C" w14:textId="77777777" w:rsidR="006D724E" w:rsidRPr="00DF4746" w:rsidRDefault="009F37FD" w:rsidP="00B252F5">
      <w:pPr>
        <w:pStyle w:val="BodyText"/>
        <w:ind w:left="917" w:right="918"/>
      </w:pPr>
      <w:r w:rsidRPr="00DF4746">
        <w:t>These requirements do not affect expenditure from any capital allocation made available by the LA outside the delegated budget share.</w:t>
      </w:r>
    </w:p>
    <w:p w14:paraId="52BFCC8D" w14:textId="77777777" w:rsidR="006D724E" w:rsidRPr="000D38F6" w:rsidRDefault="006D724E">
      <w:pPr>
        <w:pStyle w:val="BodyText"/>
        <w:spacing w:before="10"/>
      </w:pPr>
    </w:p>
    <w:p w14:paraId="52BFCC8E" w14:textId="77777777" w:rsidR="006D724E" w:rsidRPr="008244C6" w:rsidRDefault="009F37FD" w:rsidP="006D724E">
      <w:pPr>
        <w:pStyle w:val="Heading1"/>
        <w:numPr>
          <w:ilvl w:val="1"/>
          <w:numId w:val="9"/>
        </w:numPr>
        <w:tabs>
          <w:tab w:val="left" w:pos="1639"/>
        </w:tabs>
      </w:pPr>
      <w:r w:rsidRPr="008244C6">
        <w:t>Notice of Concern</w:t>
      </w:r>
    </w:p>
    <w:p w14:paraId="52BFCC8F" w14:textId="3AF01019" w:rsidR="006D724E" w:rsidRPr="00DF4746" w:rsidRDefault="009F37FD" w:rsidP="00B252F5">
      <w:pPr>
        <w:pStyle w:val="BodyText"/>
        <w:ind w:left="917" w:right="1060"/>
        <w:jc w:val="both"/>
      </w:pPr>
      <w:r w:rsidRPr="00DF4746">
        <w:t>The Authority may is</w:t>
      </w:r>
      <w:r w:rsidR="003D00A1">
        <w:t>sue a notice of concern to the governing b</w:t>
      </w:r>
      <w:r w:rsidRPr="00DF4746">
        <w:t>ody of any school it maintains where, in the opinion of the S151 Officer and the</w:t>
      </w:r>
      <w:r w:rsidR="003D00A1">
        <w:t xml:space="preserve"> Assistant Executive Director, </w:t>
      </w:r>
      <w:r w:rsidRPr="00DF4746">
        <w:t xml:space="preserve">Education, the school has failed to comply with any provisions of the scheme, or where actions need to be taken to safeguard the financial position of the Authority or the school. </w:t>
      </w:r>
    </w:p>
    <w:p w14:paraId="569B9F52" w14:textId="77777777" w:rsidR="003D00A1" w:rsidRDefault="003D00A1" w:rsidP="00B252F5">
      <w:pPr>
        <w:pStyle w:val="BodyText"/>
        <w:ind w:left="917" w:right="1060"/>
        <w:jc w:val="both"/>
      </w:pPr>
    </w:p>
    <w:p w14:paraId="52BFCC90" w14:textId="2FE5D951" w:rsidR="006D724E" w:rsidRPr="00DF4746" w:rsidRDefault="009F37FD" w:rsidP="00B252F5">
      <w:pPr>
        <w:pStyle w:val="BodyText"/>
        <w:ind w:left="917" w:right="1060"/>
        <w:jc w:val="both"/>
      </w:pPr>
      <w:r w:rsidRPr="00DF4746">
        <w:t>Such a notice will set out the reasons and evidence for it b</w:t>
      </w:r>
      <w:r w:rsidR="003D00A1">
        <w:t>eing made and may place on the governing b</w:t>
      </w:r>
      <w:r w:rsidRPr="00DF4746">
        <w:t>ody restrictions, limitations or prohibitions in relation to the management of funds delegated to it.</w:t>
      </w:r>
    </w:p>
    <w:p w14:paraId="52BFCC91" w14:textId="77777777" w:rsidR="006D724E" w:rsidRPr="00DF4746" w:rsidRDefault="009F37FD" w:rsidP="00B252F5">
      <w:pPr>
        <w:pStyle w:val="BodyText"/>
        <w:ind w:left="917" w:right="1060"/>
        <w:jc w:val="both"/>
      </w:pPr>
      <w:r w:rsidRPr="00DF4746">
        <w:t xml:space="preserve">These may include: </w:t>
      </w:r>
    </w:p>
    <w:p w14:paraId="52BFCC92" w14:textId="77777777" w:rsidR="006D724E" w:rsidRPr="00DF4746" w:rsidRDefault="009F37FD" w:rsidP="00B252F5">
      <w:pPr>
        <w:pStyle w:val="BodyText"/>
        <w:numPr>
          <w:ilvl w:val="0"/>
          <w:numId w:val="16"/>
        </w:numPr>
        <w:ind w:right="1060"/>
        <w:jc w:val="both"/>
      </w:pPr>
      <w:r w:rsidRPr="00DF4746">
        <w:t xml:space="preserve">insisting that relevant staff undertake appropriate training to address any identified weaknesses in the financial management of the school; </w:t>
      </w:r>
    </w:p>
    <w:p w14:paraId="52BFCC93" w14:textId="77777777" w:rsidR="006D724E" w:rsidRPr="00DF4746" w:rsidRDefault="009F37FD" w:rsidP="00B252F5">
      <w:pPr>
        <w:pStyle w:val="BodyText"/>
        <w:numPr>
          <w:ilvl w:val="0"/>
          <w:numId w:val="16"/>
        </w:numPr>
        <w:ind w:right="1060"/>
        <w:jc w:val="both"/>
      </w:pPr>
      <w:r w:rsidRPr="00DF4746">
        <w:t>insisting that an appropriately trained/qualified person chairs the Finance Sub-Committee of the Governing Body;</w:t>
      </w:r>
    </w:p>
    <w:p w14:paraId="52BFCC94" w14:textId="77777777" w:rsidR="006D724E" w:rsidRPr="00DF4746" w:rsidRDefault="009F37FD" w:rsidP="00B252F5">
      <w:pPr>
        <w:pStyle w:val="BodyText"/>
        <w:numPr>
          <w:ilvl w:val="0"/>
          <w:numId w:val="16"/>
        </w:numPr>
        <w:ind w:right="1060"/>
        <w:jc w:val="both"/>
      </w:pPr>
      <w:r w:rsidRPr="00DF4746">
        <w:t xml:space="preserve">placing more stringent restrictions or conditions on the </w:t>
      </w:r>
      <w:proofErr w:type="gramStart"/>
      <w:r w:rsidRPr="00DF4746">
        <w:t>day to day</w:t>
      </w:r>
      <w:proofErr w:type="gramEnd"/>
      <w:r w:rsidRPr="00DF4746">
        <w:t xml:space="preserve"> financial management of a school than the scheme requires for all schools – such as the provision of monthly accounts to the Authority;</w:t>
      </w:r>
    </w:p>
    <w:p w14:paraId="52BFCC95" w14:textId="77777777" w:rsidR="006D724E" w:rsidRPr="00DF4746" w:rsidRDefault="009F37FD" w:rsidP="00B252F5">
      <w:pPr>
        <w:pStyle w:val="BodyText"/>
        <w:numPr>
          <w:ilvl w:val="0"/>
          <w:numId w:val="16"/>
        </w:numPr>
        <w:ind w:right="1060"/>
        <w:jc w:val="both"/>
      </w:pPr>
      <w:r w:rsidRPr="00DF4746">
        <w:t>insisting on regular financial monitoring meetings at the school attended by officers of the Authority;</w:t>
      </w:r>
    </w:p>
    <w:p w14:paraId="52BFCC96" w14:textId="7F6AB16E" w:rsidR="006D724E" w:rsidRPr="00DF4746" w:rsidRDefault="003D00A1" w:rsidP="00B252F5">
      <w:pPr>
        <w:pStyle w:val="BodyText"/>
        <w:numPr>
          <w:ilvl w:val="0"/>
          <w:numId w:val="16"/>
        </w:numPr>
        <w:ind w:right="1060"/>
        <w:jc w:val="both"/>
      </w:pPr>
      <w:r>
        <w:t>requiring a governing b</w:t>
      </w:r>
      <w:r w:rsidR="009F37FD" w:rsidRPr="00DF4746">
        <w:t xml:space="preserve">ody to buy into the Authority’s financial management systems; </w:t>
      </w:r>
    </w:p>
    <w:p w14:paraId="52BFCC97" w14:textId="670EB478" w:rsidR="006D724E" w:rsidRPr="00DF4746" w:rsidRDefault="009F37FD" w:rsidP="00B252F5">
      <w:pPr>
        <w:pStyle w:val="BodyText"/>
        <w:numPr>
          <w:ilvl w:val="0"/>
          <w:numId w:val="16"/>
        </w:numPr>
        <w:ind w:right="1060"/>
        <w:jc w:val="both"/>
      </w:pPr>
      <w:r w:rsidRPr="00DF4746">
        <w:t xml:space="preserve">imposing restrictions or limitations on the </w:t>
      </w:r>
      <w:proofErr w:type="gramStart"/>
      <w:r w:rsidRPr="00DF4746">
        <w:t>manner in which</w:t>
      </w:r>
      <w:proofErr w:type="gramEnd"/>
      <w:r w:rsidRPr="00DF4746">
        <w:t xml:space="preserve"> a school manages extended school activity funded from within its delegated budget share – for example by requiring a school to submit income projections and/or financial monito</w:t>
      </w:r>
      <w:r w:rsidR="003D00A1">
        <w:t>ring reports on such activities;</w:t>
      </w:r>
    </w:p>
    <w:p w14:paraId="52BFCC98" w14:textId="73257CBB" w:rsidR="006D724E" w:rsidRPr="00DF4746" w:rsidRDefault="003D00A1" w:rsidP="00B252F5">
      <w:pPr>
        <w:pStyle w:val="BodyText"/>
        <w:numPr>
          <w:ilvl w:val="0"/>
          <w:numId w:val="16"/>
        </w:numPr>
        <w:ind w:right="1060"/>
        <w:jc w:val="both"/>
      </w:pPr>
      <w:r>
        <w:t>t</w:t>
      </w:r>
      <w:r w:rsidR="009F37FD" w:rsidRPr="00DF4746">
        <w:t xml:space="preserve">he Notice will clearly state what these requirements are and the way in which and the time by which such requirements must be complied with, </w:t>
      </w:r>
      <w:proofErr w:type="gramStart"/>
      <w:r w:rsidR="009F37FD" w:rsidRPr="00DF4746">
        <w:t>in order for</w:t>
      </w:r>
      <w:proofErr w:type="gramEnd"/>
      <w:r w:rsidR="009F37FD" w:rsidRPr="00DF4746">
        <w:t xml:space="preserve"> the Notice to be withdrawn.  It will also state the actions that th</w:t>
      </w:r>
      <w:r w:rsidR="008C1790">
        <w:t>e Authority may take where the g</w:t>
      </w:r>
      <w:r w:rsidR="009F37FD" w:rsidRPr="00DF4746">
        <w:t xml:space="preserve">overning </w:t>
      </w:r>
      <w:r w:rsidR="008C1790">
        <w:t>b</w:t>
      </w:r>
      <w:r w:rsidR="009F37FD" w:rsidRPr="00DF4746">
        <w:t>ody does not comply with the Notice.</w:t>
      </w:r>
    </w:p>
    <w:p w14:paraId="52BFCC99" w14:textId="77777777" w:rsidR="006D724E" w:rsidRPr="00DF4746" w:rsidRDefault="006D724E" w:rsidP="006D724E">
      <w:pPr>
        <w:pStyle w:val="BodyText"/>
        <w:spacing w:line="264" w:lineRule="auto"/>
        <w:ind w:left="1637" w:right="1324"/>
        <w:jc w:val="both"/>
      </w:pPr>
    </w:p>
    <w:p w14:paraId="52BFCC9A" w14:textId="5753A278" w:rsidR="006D724E" w:rsidRPr="00DF4746" w:rsidRDefault="009F37FD" w:rsidP="00B252F5">
      <w:pPr>
        <w:pStyle w:val="BodyText"/>
        <w:ind w:left="917" w:right="1060"/>
        <w:jc w:val="both"/>
      </w:pPr>
      <w:r w:rsidRPr="00DF4746">
        <w:t>Schools that wish to dispute a Notice that has been issued, shall in the first instance discuss their concerns with the S151 Officer and the Assistant Executive Director</w:t>
      </w:r>
      <w:r w:rsidR="008C1790">
        <w:t>,</w:t>
      </w:r>
      <w:r w:rsidRPr="00DF4746">
        <w:t xml:space="preserve"> Education.  Where the dispute cannot be resolved, the school may present their case to the Executive Member (Learning, Skills and Economic Growth) who will arbitrate on the issue. </w:t>
      </w:r>
    </w:p>
    <w:p w14:paraId="52BFCC9B" w14:textId="77777777" w:rsidR="006D724E" w:rsidRPr="00DF4746" w:rsidRDefault="006D724E" w:rsidP="00B252F5">
      <w:pPr>
        <w:pStyle w:val="BodyText"/>
        <w:spacing w:before="68"/>
        <w:ind w:left="917" w:right="1060"/>
      </w:pPr>
    </w:p>
    <w:p w14:paraId="52BFCC9C" w14:textId="77777777" w:rsidR="006D724E" w:rsidRPr="00DF4746" w:rsidRDefault="009F37FD" w:rsidP="00B252F5">
      <w:pPr>
        <w:pStyle w:val="BodyText"/>
        <w:spacing w:before="68"/>
        <w:ind w:left="917" w:right="1060"/>
        <w:jc w:val="both"/>
      </w:pPr>
      <w:r w:rsidRPr="00DF4746">
        <w:t>It should not be used in place of withdrawal of financial delegation where that is the appropriate action to take; however, it may provide a way of making a governing body aware of the authority’s concerns short of withdrawing delegation and identifying the actions a governing body should take in order to improve their financial management to avoid withdrawal.</w:t>
      </w:r>
    </w:p>
    <w:p w14:paraId="52BFCC9D" w14:textId="77777777" w:rsidR="006D724E" w:rsidRPr="00DF4746" w:rsidRDefault="006D724E" w:rsidP="00B252F5">
      <w:pPr>
        <w:pStyle w:val="BodyText"/>
        <w:ind w:right="1060"/>
        <w:jc w:val="both"/>
      </w:pPr>
    </w:p>
    <w:p w14:paraId="52BFCC9E" w14:textId="2BF8DD22" w:rsidR="006D724E" w:rsidRPr="00DF4746" w:rsidRDefault="00922B63" w:rsidP="00B252F5">
      <w:pPr>
        <w:pStyle w:val="BodyText"/>
        <w:ind w:left="917" w:right="1060"/>
        <w:jc w:val="both"/>
      </w:pPr>
      <w:r>
        <w:t>The N</w:t>
      </w:r>
      <w:r w:rsidR="009F37FD" w:rsidRPr="00DF4746">
        <w:t>otice will be withdrawn once the governing body has complied with the requirements it imposes.</w:t>
      </w:r>
    </w:p>
    <w:p w14:paraId="52BFCC9F" w14:textId="77777777" w:rsidR="006D724E" w:rsidRPr="00B252F5" w:rsidRDefault="006D724E">
      <w:pPr>
        <w:pStyle w:val="BodyText"/>
        <w:spacing w:before="10"/>
      </w:pPr>
    </w:p>
    <w:p w14:paraId="52BFCCA2" w14:textId="77777777" w:rsidR="006D724E" w:rsidRPr="008244C6" w:rsidRDefault="009F37FD" w:rsidP="006D724E">
      <w:pPr>
        <w:pStyle w:val="Heading1"/>
        <w:numPr>
          <w:ilvl w:val="1"/>
          <w:numId w:val="9"/>
        </w:numPr>
        <w:tabs>
          <w:tab w:val="left" w:pos="1639"/>
        </w:tabs>
      </w:pPr>
      <w:r w:rsidRPr="008244C6">
        <w:t>Schools Financial Value</w:t>
      </w:r>
      <w:r w:rsidRPr="008244C6">
        <w:rPr>
          <w:spacing w:val="-2"/>
        </w:rPr>
        <w:t xml:space="preserve"> </w:t>
      </w:r>
      <w:r w:rsidRPr="008244C6">
        <w:t>Standard</w:t>
      </w:r>
    </w:p>
    <w:p w14:paraId="52BFCCA3" w14:textId="0548223E" w:rsidR="006D724E" w:rsidRPr="008244C6" w:rsidRDefault="009F37FD" w:rsidP="00B252F5">
      <w:pPr>
        <w:pStyle w:val="BodyText"/>
        <w:ind w:left="917" w:right="1060"/>
        <w:jc w:val="both"/>
      </w:pPr>
      <w:r w:rsidRPr="008244C6">
        <w:t xml:space="preserve">All local </w:t>
      </w:r>
      <w:proofErr w:type="gramStart"/>
      <w:r w:rsidRPr="008244C6">
        <w:t>authority maintained</w:t>
      </w:r>
      <w:proofErr w:type="gramEnd"/>
      <w:r w:rsidRPr="008244C6">
        <w:t xml:space="preserve"> schools must demonstrate compliance with the Schools Financial Value Standard and complete the assessment form on an annual basis.</w:t>
      </w:r>
      <w:r w:rsidR="00922B63">
        <w:t xml:space="preserve"> </w:t>
      </w:r>
      <w:r w:rsidRPr="008244C6">
        <w:t xml:space="preserve"> It is for the school to determine at which time of the year they wish to complete the form.</w:t>
      </w:r>
    </w:p>
    <w:p w14:paraId="52BFCCA4" w14:textId="77777777" w:rsidR="006D724E" w:rsidRPr="008244C6" w:rsidRDefault="006D724E" w:rsidP="00B252F5">
      <w:pPr>
        <w:pStyle w:val="BodyText"/>
        <w:spacing w:before="11"/>
        <w:ind w:right="1060"/>
        <w:jc w:val="both"/>
        <w:rPr>
          <w:sz w:val="21"/>
        </w:rPr>
      </w:pPr>
    </w:p>
    <w:p w14:paraId="52BFCCA5" w14:textId="77777777" w:rsidR="006D724E" w:rsidRPr="008244C6" w:rsidRDefault="009F37FD" w:rsidP="00B252F5">
      <w:pPr>
        <w:pStyle w:val="BodyText"/>
        <w:ind w:left="917" w:right="1060"/>
        <w:jc w:val="both"/>
      </w:pPr>
      <w:r w:rsidRPr="008244C6">
        <w:t>Governors must demonstrate compliance through the submission of the SFVS assessment form signed by the Chair of Governors. The form must include a summary of remedial actions with a clear timetable, ensuring that each action has a specified deadline and an agreed owner.</w:t>
      </w:r>
    </w:p>
    <w:p w14:paraId="52BFCCA6" w14:textId="77777777" w:rsidR="006D724E" w:rsidRPr="008244C6" w:rsidRDefault="006D724E" w:rsidP="00B252F5">
      <w:pPr>
        <w:pStyle w:val="BodyText"/>
        <w:ind w:left="917" w:right="1060"/>
        <w:jc w:val="both"/>
      </w:pPr>
    </w:p>
    <w:p w14:paraId="52BFCCA7" w14:textId="77777777" w:rsidR="006D724E" w:rsidRPr="008244C6" w:rsidRDefault="009F37FD" w:rsidP="00B252F5">
      <w:pPr>
        <w:pStyle w:val="BodyText"/>
        <w:spacing w:before="2"/>
        <w:ind w:left="917" w:right="1060"/>
        <w:jc w:val="both"/>
      </w:pPr>
      <w:r w:rsidRPr="008244C6">
        <w:t>Governors must monitor the progress of these actions to ensure that all actions are cleared within specified deadlines.</w:t>
      </w:r>
    </w:p>
    <w:p w14:paraId="52BFCCA8" w14:textId="77777777" w:rsidR="006D724E" w:rsidRPr="008244C6" w:rsidRDefault="006D724E" w:rsidP="00B252F5">
      <w:pPr>
        <w:pStyle w:val="BodyText"/>
        <w:spacing w:before="10"/>
        <w:ind w:right="1060"/>
        <w:jc w:val="both"/>
        <w:rPr>
          <w:sz w:val="21"/>
        </w:rPr>
      </w:pPr>
    </w:p>
    <w:p w14:paraId="52BFCCA9" w14:textId="4BFE9565" w:rsidR="006D724E" w:rsidRPr="008244C6" w:rsidRDefault="009F37FD" w:rsidP="00B252F5">
      <w:pPr>
        <w:pStyle w:val="BodyText"/>
        <w:spacing w:before="1"/>
        <w:ind w:left="917" w:right="1060"/>
        <w:jc w:val="both"/>
      </w:pPr>
      <w:r w:rsidRPr="008244C6">
        <w:t xml:space="preserve">All maintained schools with a delegated budget must submit the form to the </w:t>
      </w:r>
      <w:r w:rsidR="00922B63">
        <w:t>Local A</w:t>
      </w:r>
      <w:r w:rsidRPr="008244C6">
        <w:t>uthority annually.</w:t>
      </w:r>
    </w:p>
    <w:p w14:paraId="52BFCCAA" w14:textId="77777777" w:rsidR="006D724E" w:rsidRPr="000D38F6" w:rsidRDefault="006D724E">
      <w:pPr>
        <w:pStyle w:val="BodyText"/>
        <w:spacing w:before="10"/>
        <w:rPr>
          <w:highlight w:val="yellow"/>
        </w:rPr>
      </w:pPr>
    </w:p>
    <w:p w14:paraId="52BFCCAB" w14:textId="50365564" w:rsidR="006D724E" w:rsidRPr="00517414" w:rsidRDefault="009F37FD" w:rsidP="006D724E">
      <w:pPr>
        <w:pStyle w:val="Heading1"/>
        <w:numPr>
          <w:ilvl w:val="1"/>
          <w:numId w:val="9"/>
        </w:numPr>
        <w:tabs>
          <w:tab w:val="left" w:pos="1544"/>
        </w:tabs>
        <w:spacing w:before="1"/>
        <w:ind w:left="1543" w:hanging="626"/>
      </w:pPr>
      <w:r w:rsidRPr="00517414">
        <w:t>Fraud and</w:t>
      </w:r>
      <w:r w:rsidRPr="00517414">
        <w:rPr>
          <w:spacing w:val="-1"/>
        </w:rPr>
        <w:t xml:space="preserve"> </w:t>
      </w:r>
      <w:r w:rsidR="00B158BB">
        <w:rPr>
          <w:spacing w:val="-1"/>
        </w:rPr>
        <w:t>C</w:t>
      </w:r>
      <w:r w:rsidRPr="00517414">
        <w:t>orruption</w:t>
      </w:r>
    </w:p>
    <w:p w14:paraId="52BFCCAC" w14:textId="77777777" w:rsidR="006D724E" w:rsidRPr="00517414" w:rsidRDefault="009F37FD" w:rsidP="00B252F5">
      <w:pPr>
        <w:pStyle w:val="BodyText"/>
        <w:ind w:left="917" w:right="1060"/>
        <w:jc w:val="both"/>
      </w:pPr>
      <w:r w:rsidRPr="00517414">
        <w:t>All schools must have a robust system of controls to safeguard themselves against fraudulent or improper use of public monies or assets.</w:t>
      </w:r>
    </w:p>
    <w:p w14:paraId="52BFCCAD" w14:textId="77777777" w:rsidR="006D724E" w:rsidRPr="00517414" w:rsidRDefault="006D724E" w:rsidP="00B252F5">
      <w:pPr>
        <w:pStyle w:val="BodyText"/>
        <w:ind w:left="917" w:right="1060"/>
        <w:jc w:val="both"/>
      </w:pPr>
    </w:p>
    <w:p w14:paraId="52BFCCAE" w14:textId="67C916B7" w:rsidR="006D724E" w:rsidRPr="00517414" w:rsidRDefault="009F37FD" w:rsidP="00B252F5">
      <w:pPr>
        <w:pStyle w:val="BodyText"/>
        <w:spacing w:before="1"/>
        <w:ind w:left="917" w:right="1060"/>
        <w:jc w:val="both"/>
      </w:pPr>
      <w:r w:rsidRPr="00517414">
        <w:t xml:space="preserve">The governing body and </w:t>
      </w:r>
      <w:r w:rsidR="00922B63">
        <w:t>h</w:t>
      </w:r>
      <w:r w:rsidRPr="00517414">
        <w:t xml:space="preserve">eadteacher must inform all staff of school policies and procedures related to fraud and theft, the controls in place to prevent them and the consequences of breaching those controls. </w:t>
      </w:r>
      <w:r w:rsidR="00922B63">
        <w:t xml:space="preserve"> </w:t>
      </w:r>
      <w:r w:rsidRPr="00517414">
        <w:t>This information must also be included in the induction for new school staff and governors.</w:t>
      </w:r>
    </w:p>
    <w:p w14:paraId="52BFCCAF" w14:textId="77777777" w:rsidR="006D724E" w:rsidRPr="00B252F5" w:rsidRDefault="006D724E" w:rsidP="00B252F5">
      <w:pPr>
        <w:pStyle w:val="BodyText"/>
        <w:spacing w:before="11"/>
        <w:ind w:right="1060"/>
        <w:jc w:val="both"/>
      </w:pPr>
    </w:p>
    <w:p w14:paraId="52BFCCB0" w14:textId="61D9507C" w:rsidR="006D724E" w:rsidRPr="00517414" w:rsidRDefault="009F37FD" w:rsidP="00B252F5">
      <w:pPr>
        <w:pStyle w:val="BodyText"/>
        <w:ind w:left="917" w:right="1060"/>
        <w:jc w:val="both"/>
      </w:pPr>
      <w:r w:rsidRPr="00517414">
        <w:t xml:space="preserve">Members of the </w:t>
      </w:r>
      <w:r w:rsidR="00922B63">
        <w:t>school g</w:t>
      </w:r>
      <w:r w:rsidRPr="00517414">
        <w:t xml:space="preserve">overning </w:t>
      </w:r>
      <w:r w:rsidR="00922B63">
        <w:t>b</w:t>
      </w:r>
      <w:r w:rsidRPr="00517414">
        <w:t xml:space="preserve">ody and/or staff must bring any cases or suspected cases of irregularities concerning cash, stores, or other assets, immediately to the attention of </w:t>
      </w:r>
      <w:r w:rsidR="00922B63">
        <w:t xml:space="preserve">the </w:t>
      </w:r>
      <w:r w:rsidRPr="00517414">
        <w:t>Director of Finance who will take such steps as considered necessary by way of investigation and report.</w:t>
      </w:r>
    </w:p>
    <w:p w14:paraId="52BFCCB1" w14:textId="77777777" w:rsidR="006D724E" w:rsidRPr="00517414" w:rsidRDefault="006D724E" w:rsidP="00B252F5">
      <w:pPr>
        <w:pStyle w:val="BodyText"/>
        <w:ind w:right="1060"/>
        <w:jc w:val="both"/>
      </w:pPr>
    </w:p>
    <w:p w14:paraId="52BFCCB2" w14:textId="7CCA5DAB" w:rsidR="006D724E" w:rsidRPr="00BE33F7" w:rsidRDefault="009F37FD" w:rsidP="00B252F5">
      <w:pPr>
        <w:pStyle w:val="BodyText"/>
        <w:ind w:left="917" w:right="1060"/>
        <w:jc w:val="both"/>
      </w:pPr>
      <w:r w:rsidRPr="00BE33F7">
        <w:t xml:space="preserve">Further information on how to deal with </w:t>
      </w:r>
      <w:r w:rsidR="00922B63">
        <w:t>a suspected fraud can be found i</w:t>
      </w:r>
      <w:r w:rsidRPr="00BE33F7">
        <w:t xml:space="preserve">n the Authority’s Finance Regulations </w:t>
      </w:r>
      <w:hyperlink r:id="rId23" w:history="1">
        <w:r w:rsidRPr="009F1E12">
          <w:rPr>
            <w:rStyle w:val="Hyperlink"/>
          </w:rPr>
          <w:t>https://tameside.moderngov.co.uk/documents/s13571/Part%205c%20Anti%20Fraud%20Bribery%20and%20Corruption%20Strategy%20-%20Statement%20of%20Intent.pdf</w:t>
        </w:r>
      </w:hyperlink>
      <w:r w:rsidRPr="00BE33F7">
        <w:t>.</w:t>
      </w:r>
      <w:r>
        <w:t xml:space="preserve"> </w:t>
      </w:r>
    </w:p>
    <w:p w14:paraId="52BFCCB3" w14:textId="77777777" w:rsidR="006D724E" w:rsidRPr="008047C5" w:rsidRDefault="006D724E">
      <w:pPr>
        <w:pStyle w:val="BodyText"/>
        <w:spacing w:line="242" w:lineRule="auto"/>
        <w:ind w:left="917" w:right="1551"/>
        <w:rPr>
          <w:highlight w:val="yellow"/>
        </w:rPr>
      </w:pPr>
    </w:p>
    <w:p w14:paraId="52BFCCB6" w14:textId="77777777" w:rsidR="006D724E" w:rsidRDefault="009F37FD">
      <w:pPr>
        <w:pStyle w:val="BodyText"/>
        <w:ind w:left="888"/>
        <w:rPr>
          <w:sz w:val="20"/>
        </w:rPr>
      </w:pPr>
      <w:r>
        <w:rPr>
          <w:noProof/>
          <w:sz w:val="20"/>
          <w:lang w:bidi="ar-SA"/>
        </w:rPr>
        <mc:AlternateContent>
          <mc:Choice Requires="wpg">
            <w:drawing>
              <wp:inline distT="0" distB="0" distL="0" distR="0" wp14:anchorId="52BFD160" wp14:editId="5BAEE626">
                <wp:extent cx="6155690" cy="548640"/>
                <wp:effectExtent l="0" t="0" r="0" b="3810"/>
                <wp:docPr id="28" name="Group 15"/>
                <wp:cNvGraphicFramePr/>
                <a:graphic xmlns:a="http://schemas.openxmlformats.org/drawingml/2006/main">
                  <a:graphicData uri="http://schemas.microsoft.com/office/word/2010/wordprocessingGroup">
                    <wpg:wgp>
                      <wpg:cNvGrpSpPr/>
                      <wpg:grpSpPr>
                        <a:xfrm>
                          <a:off x="0" y="0"/>
                          <a:ext cx="6155690" cy="548640"/>
                          <a:chOff x="0" y="0"/>
                          <a:chExt cx="9694" cy="864"/>
                        </a:xfrm>
                      </wpg:grpSpPr>
                      <wps:wsp>
                        <wps:cNvPr id="30" name="Rectangle 20"/>
                        <wps:cNvSpPr>
                          <a:spLocks noChangeArrowheads="1"/>
                        </wps:cNvSpPr>
                        <wps:spPr bwMode="auto">
                          <a:xfrm>
                            <a:off x="0" y="0"/>
                            <a:ext cx="9694"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4" name="Text Box 18"/>
                        <wps:cNvSpPr txBox="1">
                          <a:spLocks noChangeArrowheads="1"/>
                        </wps:cNvSpPr>
                        <wps:spPr bwMode="auto">
                          <a:xfrm>
                            <a:off x="28" y="461"/>
                            <a:ext cx="245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8" w14:textId="77777777" w:rsidR="009C672B" w:rsidRDefault="009C672B">
                              <w:pPr>
                                <w:spacing w:line="402" w:lineRule="exact"/>
                                <w:rPr>
                                  <w:b/>
                                  <w:sz w:val="36"/>
                                </w:rPr>
                              </w:pPr>
                              <w:bookmarkStart w:id="3" w:name="3._Instalments_of_the_Budget_Share;_Bank"/>
                              <w:bookmarkEnd w:id="3"/>
                              <w:r>
                                <w:rPr>
                                  <w:b/>
                                  <w:sz w:val="36"/>
                                </w:rPr>
                                <w:t>Arrangements</w:t>
                              </w:r>
                            </w:p>
                          </w:txbxContent>
                        </wps:txbx>
                        <wps:bodyPr rot="0" vert="horz" wrap="square" lIns="0" tIns="0" rIns="0" bIns="0" anchor="t" anchorCtr="0" upright="1"/>
                      </wps:wsp>
                      <wps:wsp>
                        <wps:cNvPr id="36" name="Text Box 17"/>
                        <wps:cNvSpPr txBox="1">
                          <a:spLocks noChangeArrowheads="1"/>
                        </wps:cNvSpPr>
                        <wps:spPr bwMode="auto">
                          <a:xfrm>
                            <a:off x="749" y="5"/>
                            <a:ext cx="7179"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9" w14:textId="77777777" w:rsidR="009C672B" w:rsidRDefault="009C672B">
                              <w:pPr>
                                <w:spacing w:line="402" w:lineRule="exact"/>
                                <w:rPr>
                                  <w:b/>
                                  <w:sz w:val="36"/>
                                </w:rPr>
                              </w:pPr>
                              <w:r>
                                <w:rPr>
                                  <w:b/>
                                  <w:sz w:val="36"/>
                                </w:rPr>
                                <w:t>Instalments of the Budget Share; Banking</w:t>
                              </w:r>
                            </w:p>
                          </w:txbxContent>
                        </wps:txbx>
                        <wps:bodyPr rot="0" vert="horz" wrap="square" lIns="0" tIns="0" rIns="0" bIns="0" anchor="t" anchorCtr="0" upright="1"/>
                      </wps:wsp>
                      <wps:wsp>
                        <wps:cNvPr id="38" name="Text Box 16"/>
                        <wps:cNvSpPr txBox="1">
                          <a:spLocks noChangeArrowheads="1"/>
                        </wps:cNvSpPr>
                        <wps:spPr bwMode="auto">
                          <a:xfrm>
                            <a:off x="28" y="5"/>
                            <a:ext cx="32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A" w14:textId="77777777" w:rsidR="009C672B" w:rsidRDefault="009C672B">
                              <w:pPr>
                                <w:spacing w:line="402" w:lineRule="exact"/>
                                <w:rPr>
                                  <w:b/>
                                  <w:sz w:val="36"/>
                                </w:rPr>
                              </w:pPr>
                              <w:r>
                                <w:rPr>
                                  <w:b/>
                                  <w:sz w:val="36"/>
                                </w:rPr>
                                <w:t>3.</w:t>
                              </w:r>
                            </w:p>
                          </w:txbxContent>
                        </wps:txbx>
                        <wps:bodyPr rot="0" vert="horz" wrap="square" lIns="0" tIns="0" rIns="0" bIns="0" anchor="t" anchorCtr="0" upright="1"/>
                      </wps:wsp>
                    </wpg:wgp>
                  </a:graphicData>
                </a:graphic>
              </wp:inline>
            </w:drawing>
          </mc:Choice>
          <mc:Fallback>
            <w:pict>
              <v:group w14:anchorId="52BFD160" id="Group 15" o:spid="_x0000_s1028" style="width:484.7pt;height:43.2pt;mso-position-horizontal-relative:char;mso-position-vertical-relative:line" coordsize="969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">
                <v:rect id="Rectangle 20" o:spid="_x0000_s1029" style="position:absolute;width:9694;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Text Box 18" o:spid="_x0000_s1030" type="#_x0000_t202" style="position:absolute;left:28;top:461;width:245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2BFD168" w14:textId="77777777" w:rsidR="009C672B" w:rsidRDefault="009C672B">
                        <w:pPr>
                          <w:spacing w:line="402" w:lineRule="exact"/>
                          <w:rPr>
                            <w:b/>
                            <w:sz w:val="36"/>
                          </w:rPr>
                        </w:pPr>
                        <w:bookmarkStart w:id="4" w:name="3._Instalments_of_the_Budget_Share;_Bank"/>
                        <w:bookmarkEnd w:id="4"/>
                        <w:r>
                          <w:rPr>
                            <w:b/>
                            <w:sz w:val="36"/>
                          </w:rPr>
                          <w:t>Arrangements</w:t>
                        </w:r>
                      </w:p>
                    </w:txbxContent>
                  </v:textbox>
                </v:shape>
                <v:shape id="Text Box 17" o:spid="_x0000_s1031" type="#_x0000_t202" style="position:absolute;left:749;top:5;width:7179;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2BFD169" w14:textId="77777777" w:rsidR="009C672B" w:rsidRDefault="009C672B">
                        <w:pPr>
                          <w:spacing w:line="402" w:lineRule="exact"/>
                          <w:rPr>
                            <w:b/>
                            <w:sz w:val="36"/>
                          </w:rPr>
                        </w:pPr>
                        <w:r>
                          <w:rPr>
                            <w:b/>
                            <w:sz w:val="36"/>
                          </w:rPr>
                          <w:t>Instalments of the Budget Share; Banking</w:t>
                        </w:r>
                      </w:p>
                    </w:txbxContent>
                  </v:textbox>
                </v:shape>
                <v:shape id="Text Box 16" o:spid="_x0000_s1032" type="#_x0000_t202" style="position:absolute;left:28;top:5;width:32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2BFD16A" w14:textId="77777777" w:rsidR="009C672B" w:rsidRDefault="009C672B">
                        <w:pPr>
                          <w:spacing w:line="402" w:lineRule="exact"/>
                          <w:rPr>
                            <w:b/>
                            <w:sz w:val="36"/>
                          </w:rPr>
                        </w:pPr>
                        <w:r>
                          <w:rPr>
                            <w:b/>
                            <w:sz w:val="36"/>
                          </w:rPr>
                          <w:t>3.</w:t>
                        </w:r>
                      </w:p>
                    </w:txbxContent>
                  </v:textbox>
                </v:shape>
                <w10:anchorlock/>
              </v:group>
            </w:pict>
          </mc:Fallback>
        </mc:AlternateContent>
      </w:r>
    </w:p>
    <w:p w14:paraId="52BFCCB7" w14:textId="77777777" w:rsidR="006D724E" w:rsidRDefault="006D724E">
      <w:pPr>
        <w:pStyle w:val="BodyText"/>
        <w:spacing w:before="1"/>
        <w:rPr>
          <w:sz w:val="13"/>
        </w:rPr>
      </w:pPr>
    </w:p>
    <w:p w14:paraId="52BFCCB8" w14:textId="118A6C65" w:rsidR="006D724E" w:rsidRPr="00F8725B" w:rsidRDefault="009F37FD" w:rsidP="00CC09E7">
      <w:pPr>
        <w:pStyle w:val="BodyText"/>
        <w:spacing w:before="94"/>
        <w:ind w:left="917" w:right="1060"/>
        <w:jc w:val="both"/>
      </w:pPr>
      <w:r w:rsidRPr="008163E6">
        <w:t>All schools covered by the scheme will be able to operate their own bank account for the whole of their budget if they so wish.  Schools will retain any interest earned on their bank accounts and bear any charges made by banks.</w:t>
      </w:r>
      <w:r w:rsidR="009C2401">
        <w:t xml:space="preserve"> </w:t>
      </w:r>
      <w:r w:rsidRPr="008163E6">
        <w:t xml:space="preserve"> These must be incorporated into the receipts and payments statement for the school.</w:t>
      </w:r>
    </w:p>
    <w:p w14:paraId="52BFCCB9" w14:textId="77777777" w:rsidR="006D724E" w:rsidRPr="008163E6" w:rsidRDefault="006D724E">
      <w:pPr>
        <w:pStyle w:val="BodyText"/>
        <w:spacing w:before="1"/>
      </w:pPr>
    </w:p>
    <w:p w14:paraId="52BFCCBA" w14:textId="77777777" w:rsidR="006D724E" w:rsidRPr="008163E6" w:rsidRDefault="009F37FD" w:rsidP="009C2401">
      <w:pPr>
        <w:pStyle w:val="Heading1"/>
        <w:numPr>
          <w:ilvl w:val="1"/>
          <w:numId w:val="7"/>
        </w:numPr>
        <w:tabs>
          <w:tab w:val="left" w:pos="1637"/>
          <w:tab w:val="left" w:pos="1639"/>
        </w:tabs>
        <w:ind w:left="1639" w:hanging="720"/>
      </w:pPr>
      <w:r w:rsidRPr="008163E6">
        <w:t>Frequency of</w:t>
      </w:r>
      <w:r w:rsidRPr="008163E6">
        <w:rPr>
          <w:spacing w:val="-7"/>
        </w:rPr>
        <w:t xml:space="preserve"> </w:t>
      </w:r>
      <w:r w:rsidRPr="008163E6">
        <w:t>Instalments</w:t>
      </w:r>
    </w:p>
    <w:p w14:paraId="52BFCCBB" w14:textId="66C9F435" w:rsidR="006D724E" w:rsidRDefault="009F37FD" w:rsidP="009C2401">
      <w:pPr>
        <w:pStyle w:val="BodyText"/>
        <w:ind w:left="919" w:right="1134"/>
        <w:jc w:val="both"/>
      </w:pPr>
      <w:r w:rsidRPr="00F8725B">
        <w:t>Schools will receive instalments of the School Budget Share plus any other delegated funding, in 1</w:t>
      </w:r>
      <w:r w:rsidR="00B8696B">
        <w:t>2</w:t>
      </w:r>
      <w:r w:rsidRPr="00F8725B">
        <w:t xml:space="preserve"> monthly ins</w:t>
      </w:r>
      <w:r w:rsidRPr="008163E6">
        <w:t>talments.</w:t>
      </w:r>
    </w:p>
    <w:p w14:paraId="6F7352E5" w14:textId="77777777" w:rsidR="009C2401" w:rsidRPr="008163E6" w:rsidRDefault="009C2401" w:rsidP="009C2401">
      <w:pPr>
        <w:pStyle w:val="BodyText"/>
        <w:ind w:left="919" w:right="1134"/>
        <w:jc w:val="both"/>
      </w:pPr>
    </w:p>
    <w:p w14:paraId="52BFCCBC" w14:textId="77777777" w:rsidR="006D724E" w:rsidRPr="008163E6" w:rsidRDefault="009F37FD" w:rsidP="009C2401">
      <w:pPr>
        <w:pStyle w:val="BodyText"/>
        <w:ind w:left="919" w:right="1134"/>
        <w:jc w:val="both"/>
      </w:pPr>
      <w:r w:rsidRPr="008163E6">
        <w:t xml:space="preserve">Top up payments for pupils with high needs will be incorporated within the monthly instalments where the Authority is in receipt of the requisite information to calculate the payment.  </w:t>
      </w:r>
    </w:p>
    <w:p w14:paraId="57EBE3FC" w14:textId="77777777" w:rsidR="009C2401" w:rsidRDefault="009C2401" w:rsidP="009C2401">
      <w:pPr>
        <w:pStyle w:val="BodyText"/>
        <w:tabs>
          <w:tab w:val="left" w:pos="10490"/>
        </w:tabs>
        <w:ind w:left="919" w:right="1134"/>
        <w:jc w:val="both"/>
      </w:pPr>
    </w:p>
    <w:p w14:paraId="52BFCCBD" w14:textId="7A5BFCBB" w:rsidR="006D724E" w:rsidRPr="00F8725B" w:rsidRDefault="009F37FD" w:rsidP="009C2401">
      <w:pPr>
        <w:pStyle w:val="BodyText"/>
        <w:tabs>
          <w:tab w:val="left" w:pos="10490"/>
        </w:tabs>
        <w:ind w:left="919" w:right="1134"/>
        <w:jc w:val="both"/>
      </w:pPr>
      <w:r w:rsidRPr="008163E6">
        <w:t xml:space="preserve">Schools experiencing </w:t>
      </w:r>
      <w:r w:rsidR="009C2401" w:rsidRPr="008163E6">
        <w:t>cash flow</w:t>
      </w:r>
      <w:r w:rsidRPr="008163E6">
        <w:t xml:space="preserve"> difficulties can request emergency instalments, but any such request must be supported by a cashflow forecast and other supporting document requested by which will then be assessed by the Authority.  These emergency cash flow payments will generally be paid by BACS, other than in exceptional cases that must be agreed with the Authority.  This needs to be taken into consideration in the timing of a request for an additional </w:t>
      </w:r>
      <w:r w:rsidRPr="00F8725B">
        <w:t>instalment.</w:t>
      </w:r>
    </w:p>
    <w:p w14:paraId="141DA55D" w14:textId="77777777" w:rsidR="009C2401" w:rsidRDefault="009C2401" w:rsidP="009C2401">
      <w:pPr>
        <w:pStyle w:val="BodyText"/>
        <w:ind w:left="919" w:right="1134"/>
        <w:jc w:val="both"/>
      </w:pPr>
    </w:p>
    <w:p w14:paraId="52BFCCBE" w14:textId="67A4A09C" w:rsidR="006D724E" w:rsidRPr="00F8725B" w:rsidRDefault="009F37FD" w:rsidP="009C2401">
      <w:pPr>
        <w:pStyle w:val="BodyText"/>
        <w:ind w:left="919" w:right="1134"/>
        <w:jc w:val="both"/>
      </w:pPr>
      <w:r w:rsidRPr="00F8725B">
        <w:t xml:space="preserve">The Authority will make available budget share instalments </w:t>
      </w:r>
      <w:proofErr w:type="gramStart"/>
      <w:r w:rsidRPr="00F8725B">
        <w:t>on a monthly basis</w:t>
      </w:r>
      <w:proofErr w:type="gramEnd"/>
      <w:r w:rsidRPr="00F8725B">
        <w:t xml:space="preserve"> to schools which so request it; but the request should be made prior to the start of the relevant financial year</w:t>
      </w:r>
      <w:r w:rsidR="00CC09E7">
        <w:t>.</w:t>
      </w:r>
    </w:p>
    <w:p w14:paraId="52BFCCC0" w14:textId="77777777" w:rsidR="006D724E" w:rsidRPr="000D38F6" w:rsidRDefault="006D724E" w:rsidP="006D724E">
      <w:pPr>
        <w:pStyle w:val="BodyText"/>
      </w:pPr>
    </w:p>
    <w:p w14:paraId="52BFCCC1" w14:textId="08C8719F" w:rsidR="006D724E" w:rsidRPr="00F8725B" w:rsidRDefault="00B158BB" w:rsidP="006D724E">
      <w:pPr>
        <w:pStyle w:val="Heading1"/>
        <w:numPr>
          <w:ilvl w:val="1"/>
          <w:numId w:val="7"/>
        </w:numPr>
        <w:tabs>
          <w:tab w:val="left" w:pos="1637"/>
          <w:tab w:val="left" w:pos="1639"/>
        </w:tabs>
      </w:pPr>
      <w:r>
        <w:t>Proportion of Budget Share Payable at E</w:t>
      </w:r>
      <w:r w:rsidR="009F37FD" w:rsidRPr="00F8725B">
        <w:t>ach</w:t>
      </w:r>
      <w:r w:rsidR="009F37FD" w:rsidRPr="00F8725B">
        <w:rPr>
          <w:spacing w:val="-5"/>
        </w:rPr>
        <w:t xml:space="preserve"> </w:t>
      </w:r>
      <w:r>
        <w:t>I</w:t>
      </w:r>
      <w:r w:rsidRPr="00F8725B">
        <w:t>nstal</w:t>
      </w:r>
      <w:r>
        <w:t>m</w:t>
      </w:r>
      <w:r w:rsidRPr="00F8725B">
        <w:t>ent</w:t>
      </w:r>
    </w:p>
    <w:p w14:paraId="52BFCCC2" w14:textId="31133903" w:rsidR="006D724E" w:rsidRPr="00F8725B" w:rsidRDefault="009F37FD" w:rsidP="00071532">
      <w:pPr>
        <w:pStyle w:val="BodyText"/>
        <w:tabs>
          <w:tab w:val="left" w:pos="10632"/>
        </w:tabs>
        <w:spacing w:before="1"/>
        <w:ind w:left="917" w:right="1000"/>
        <w:jc w:val="both"/>
      </w:pPr>
      <w:r w:rsidRPr="00F8725B">
        <w:t xml:space="preserve">All Schools will receive their budget share instalments into their nominated bank account.  Each instalment is calculated on the total </w:t>
      </w:r>
      <w:r w:rsidR="009C2401">
        <w:t>s</w:t>
      </w:r>
      <w:r w:rsidRPr="00F8725B">
        <w:t xml:space="preserve">chools funding including schools block funding, known High Needs top-up and any other grants due to the school.  The total of this sum is divided in </w:t>
      </w:r>
      <w:r w:rsidR="00B8696B">
        <w:t xml:space="preserve">equal </w:t>
      </w:r>
      <w:r w:rsidRPr="00F8725B">
        <w:t>1</w:t>
      </w:r>
      <w:r w:rsidR="00B8696B">
        <w:t>2</w:t>
      </w:r>
      <w:r w:rsidRPr="00F8725B">
        <w:t xml:space="preserve">th’s and paid to </w:t>
      </w:r>
      <w:r w:rsidR="009C2401">
        <w:t xml:space="preserve">the </w:t>
      </w:r>
      <w:r w:rsidRPr="00F8725B">
        <w:t xml:space="preserve">school in </w:t>
      </w:r>
      <w:r w:rsidR="00B8696B">
        <w:t>equal monthly</w:t>
      </w:r>
      <w:r w:rsidRPr="00F8725B">
        <w:t xml:space="preserve"> instalments.  </w:t>
      </w:r>
    </w:p>
    <w:p w14:paraId="52BFCCC3" w14:textId="77777777" w:rsidR="006D724E" w:rsidRPr="00F8725B" w:rsidRDefault="006D724E" w:rsidP="00CC09E7">
      <w:pPr>
        <w:pStyle w:val="BodyText"/>
        <w:spacing w:before="1"/>
        <w:ind w:left="917" w:right="1000"/>
        <w:jc w:val="both"/>
      </w:pPr>
    </w:p>
    <w:p w14:paraId="52BFCCC4" w14:textId="77777777" w:rsidR="006D724E" w:rsidRPr="00F8725B" w:rsidRDefault="009F37FD" w:rsidP="00CC09E7">
      <w:pPr>
        <w:pStyle w:val="BodyText"/>
        <w:spacing w:before="1"/>
        <w:ind w:left="917" w:right="1000"/>
        <w:jc w:val="both"/>
      </w:pPr>
      <w:r w:rsidRPr="00F8725B">
        <w:t xml:space="preserve">At the end of </w:t>
      </w:r>
      <w:proofErr w:type="gramStart"/>
      <w:r w:rsidRPr="00F8725B">
        <w:t>term</w:t>
      </w:r>
      <w:proofErr w:type="gramEnd"/>
      <w:r w:rsidRPr="00F8725B">
        <w:t xml:space="preserve"> a review of funding will be carried out for any changes to </w:t>
      </w:r>
      <w:proofErr w:type="gramStart"/>
      <w:r w:rsidRPr="00F8725B">
        <w:t>funding</w:t>
      </w:r>
      <w:proofErr w:type="gramEnd"/>
      <w:r w:rsidRPr="00F8725B">
        <w:t xml:space="preserve"> and the amount will be retrospectively </w:t>
      </w:r>
      <w:proofErr w:type="gramStart"/>
      <w:r w:rsidRPr="00F8725B">
        <w:t>amended, and</w:t>
      </w:r>
      <w:proofErr w:type="gramEnd"/>
      <w:r w:rsidRPr="00F8725B">
        <w:t xml:space="preserve"> revised going forward.  Payments will be made to schools on the </w:t>
      </w:r>
      <w:r w:rsidRPr="001E79D2">
        <w:t>6th</w:t>
      </w:r>
      <w:r w:rsidRPr="00F8725B">
        <w:t xml:space="preserve"> (or last working day before the 6th) of each relevant month.</w:t>
      </w:r>
    </w:p>
    <w:p w14:paraId="52BFCCC5" w14:textId="77777777" w:rsidR="006D724E" w:rsidRPr="00F8725B" w:rsidRDefault="006D724E" w:rsidP="006D724E">
      <w:pPr>
        <w:pStyle w:val="BodyText"/>
      </w:pPr>
    </w:p>
    <w:p w14:paraId="52BFCCC6" w14:textId="77777777" w:rsidR="006D724E" w:rsidRPr="00F8725B" w:rsidRDefault="009F37FD" w:rsidP="006D724E">
      <w:pPr>
        <w:pStyle w:val="Heading1"/>
        <w:numPr>
          <w:ilvl w:val="1"/>
          <w:numId w:val="7"/>
        </w:numPr>
        <w:tabs>
          <w:tab w:val="left" w:pos="1637"/>
          <w:tab w:val="left" w:pos="1639"/>
        </w:tabs>
      </w:pPr>
      <w:r w:rsidRPr="00F8725B">
        <w:t>Interest Clawback</w:t>
      </w:r>
    </w:p>
    <w:p w14:paraId="52BFCCC7" w14:textId="77777777" w:rsidR="006D724E" w:rsidRPr="00F8725B" w:rsidRDefault="009F37FD" w:rsidP="00CC09E7">
      <w:pPr>
        <w:pStyle w:val="BodyText"/>
        <w:spacing w:before="1"/>
        <w:ind w:left="917" w:right="1000"/>
        <w:jc w:val="both"/>
      </w:pPr>
      <w:r w:rsidRPr="00F8725B">
        <w:t>The Authority does not intend to reduce advances to schools to offset its losses on interest caused by the earlier advancing of budget shares to schools, other than in cases where the school has requested a different instalment profile as outlined under paragraph 3.2.</w:t>
      </w:r>
    </w:p>
    <w:p w14:paraId="52BFCCC8" w14:textId="77777777" w:rsidR="006D724E" w:rsidRPr="000D38F6" w:rsidRDefault="006D724E" w:rsidP="006D724E">
      <w:pPr>
        <w:pStyle w:val="BodyText"/>
      </w:pPr>
    </w:p>
    <w:p w14:paraId="52BFCCC9" w14:textId="30FD1247" w:rsidR="006D724E" w:rsidRPr="00F8725B" w:rsidRDefault="00B158BB" w:rsidP="006D724E">
      <w:pPr>
        <w:pStyle w:val="Heading1"/>
        <w:tabs>
          <w:tab w:val="left" w:pos="1637"/>
          <w:tab w:val="left" w:pos="1639"/>
        </w:tabs>
        <w:rPr>
          <w:sz w:val="24"/>
          <w:szCs w:val="24"/>
        </w:rPr>
      </w:pPr>
      <w:r>
        <w:rPr>
          <w:sz w:val="24"/>
          <w:szCs w:val="24"/>
        </w:rPr>
        <w:t>3.3.1</w:t>
      </w:r>
      <w:r w:rsidR="00A314CE">
        <w:rPr>
          <w:sz w:val="24"/>
          <w:szCs w:val="24"/>
        </w:rPr>
        <w:tab/>
      </w:r>
      <w:r>
        <w:rPr>
          <w:sz w:val="24"/>
          <w:szCs w:val="24"/>
        </w:rPr>
        <w:t xml:space="preserve"> </w:t>
      </w:r>
      <w:r w:rsidRPr="001E79D2">
        <w:t>Interest on Late Budget Share P</w:t>
      </w:r>
      <w:r w:rsidR="009F37FD" w:rsidRPr="001E79D2">
        <w:t>ayments</w:t>
      </w:r>
    </w:p>
    <w:p w14:paraId="52BFCCCA" w14:textId="77777777" w:rsidR="006D724E" w:rsidRPr="00F8725B" w:rsidRDefault="009F37FD" w:rsidP="00CC09E7">
      <w:pPr>
        <w:pStyle w:val="BodyText"/>
        <w:spacing w:before="1"/>
        <w:ind w:left="917" w:right="1000"/>
        <w:jc w:val="both"/>
      </w:pPr>
      <w:r w:rsidRPr="00F8725B">
        <w:t xml:space="preserve">If the Authority is at fault for late payment of budget shares, interest at the </w:t>
      </w:r>
      <w:proofErr w:type="gramStart"/>
      <w:r w:rsidRPr="00F8725B">
        <w:t>7 day</w:t>
      </w:r>
      <w:proofErr w:type="gramEnd"/>
      <w:r w:rsidRPr="00F8725B">
        <w:t xml:space="preserve"> Local Authority Deposit Rate will be added to the next payment.</w:t>
      </w:r>
    </w:p>
    <w:p w14:paraId="52BFCCCB" w14:textId="77777777" w:rsidR="006D724E" w:rsidRPr="000D38F6" w:rsidRDefault="006D724E" w:rsidP="006D724E">
      <w:pPr>
        <w:pStyle w:val="BodyText"/>
      </w:pPr>
    </w:p>
    <w:p w14:paraId="52BFCCCC" w14:textId="57606EF3" w:rsidR="006D724E" w:rsidRPr="00F8725B" w:rsidRDefault="009F37FD" w:rsidP="006D724E">
      <w:pPr>
        <w:pStyle w:val="Heading1"/>
        <w:numPr>
          <w:ilvl w:val="1"/>
          <w:numId w:val="6"/>
        </w:numPr>
        <w:tabs>
          <w:tab w:val="left" w:pos="1637"/>
          <w:tab w:val="left" w:pos="1639"/>
        </w:tabs>
      </w:pPr>
      <w:r w:rsidRPr="00F8725B">
        <w:t xml:space="preserve">Budget </w:t>
      </w:r>
      <w:r w:rsidR="00B158BB">
        <w:t>S</w:t>
      </w:r>
      <w:r w:rsidRPr="00F8725B">
        <w:t xml:space="preserve">hares for </w:t>
      </w:r>
      <w:r w:rsidR="00B158BB">
        <w:t>C</w:t>
      </w:r>
      <w:r w:rsidRPr="00F8725B">
        <w:t>losing</w:t>
      </w:r>
      <w:r w:rsidRPr="00F8725B">
        <w:rPr>
          <w:spacing w:val="1"/>
        </w:rPr>
        <w:t xml:space="preserve"> </w:t>
      </w:r>
      <w:r w:rsidR="00B158BB">
        <w:rPr>
          <w:spacing w:val="1"/>
        </w:rPr>
        <w:t>S</w:t>
      </w:r>
      <w:r w:rsidRPr="00F8725B">
        <w:t>chools</w:t>
      </w:r>
    </w:p>
    <w:p w14:paraId="52BFCCCD" w14:textId="77777777" w:rsidR="006D724E" w:rsidRPr="00F8725B" w:rsidRDefault="009F37FD" w:rsidP="00CC09E7">
      <w:pPr>
        <w:pStyle w:val="BodyText"/>
        <w:spacing w:before="1"/>
        <w:ind w:left="919" w:right="998"/>
        <w:jc w:val="both"/>
      </w:pPr>
      <w:r w:rsidRPr="00F8725B">
        <w:t xml:space="preserve">Where approval to discontinue a school has been given and financial delegation has not been withdrawn from the school, the Authority shall have the power to provide the school with instalments </w:t>
      </w:r>
      <w:proofErr w:type="gramStart"/>
      <w:r w:rsidRPr="00F8725B">
        <w:t>on a monthly basis</w:t>
      </w:r>
      <w:proofErr w:type="gramEnd"/>
      <w:r w:rsidRPr="00F8725B">
        <w:t>, notwithstanding that a different basis might previously have been used.</w:t>
      </w:r>
    </w:p>
    <w:p w14:paraId="52BFCCCE" w14:textId="77777777" w:rsidR="006D724E" w:rsidRPr="00F8725B" w:rsidRDefault="006D724E" w:rsidP="006D724E">
      <w:pPr>
        <w:pStyle w:val="Default"/>
        <w:ind w:left="917"/>
        <w:jc w:val="both"/>
        <w:rPr>
          <w:sz w:val="22"/>
          <w:szCs w:val="22"/>
        </w:rPr>
      </w:pPr>
    </w:p>
    <w:p w14:paraId="52BFCCCF" w14:textId="77777777" w:rsidR="006D724E" w:rsidRPr="00F8725B" w:rsidRDefault="009F37FD" w:rsidP="006D724E">
      <w:pPr>
        <w:pStyle w:val="Heading1"/>
        <w:numPr>
          <w:ilvl w:val="1"/>
          <w:numId w:val="6"/>
        </w:numPr>
        <w:tabs>
          <w:tab w:val="left" w:pos="1637"/>
          <w:tab w:val="left" w:pos="1639"/>
        </w:tabs>
      </w:pPr>
      <w:r w:rsidRPr="00F8725B">
        <w:t>Bank and Building Society</w:t>
      </w:r>
      <w:r w:rsidRPr="00F8725B">
        <w:rPr>
          <w:spacing w:val="-4"/>
        </w:rPr>
        <w:t xml:space="preserve"> </w:t>
      </w:r>
      <w:r w:rsidRPr="00F8725B">
        <w:t>Accounts</w:t>
      </w:r>
    </w:p>
    <w:p w14:paraId="52BFCCD0" w14:textId="77777777" w:rsidR="006D724E" w:rsidRPr="00F8725B" w:rsidRDefault="009F37FD" w:rsidP="00CC09E7">
      <w:pPr>
        <w:pStyle w:val="BodyText"/>
        <w:ind w:left="919" w:right="992"/>
        <w:jc w:val="both"/>
      </w:pPr>
      <w:r w:rsidRPr="00F8725B">
        <w:t>Instalments of the School Budget Share will be paid into one specified bank or building society account in the name of the school.</w:t>
      </w:r>
    </w:p>
    <w:p w14:paraId="52BFCCD1" w14:textId="77777777" w:rsidR="006D724E" w:rsidRPr="00F8725B" w:rsidRDefault="006D724E" w:rsidP="00CC09E7">
      <w:pPr>
        <w:pStyle w:val="BodyText"/>
        <w:ind w:left="919" w:right="992"/>
        <w:jc w:val="both"/>
      </w:pPr>
    </w:p>
    <w:p w14:paraId="52BFCCD2" w14:textId="77777777" w:rsidR="006D724E" w:rsidRPr="00F8725B" w:rsidRDefault="009F37FD" w:rsidP="00CC09E7">
      <w:pPr>
        <w:pStyle w:val="BodyText"/>
        <w:ind w:left="919" w:right="992"/>
        <w:jc w:val="both"/>
      </w:pPr>
      <w:r w:rsidRPr="00F8725B">
        <w:t>All interest received by Schools on such bank accounts shall be retained by schools for their benefit.</w:t>
      </w:r>
    </w:p>
    <w:p w14:paraId="52BFCCD3" w14:textId="77777777" w:rsidR="006D724E" w:rsidRPr="00F8725B" w:rsidRDefault="006D724E" w:rsidP="006D724E">
      <w:pPr>
        <w:pStyle w:val="BodyText"/>
        <w:ind w:left="917" w:right="995"/>
        <w:jc w:val="both"/>
      </w:pPr>
    </w:p>
    <w:p w14:paraId="52BFCCD4" w14:textId="77777777" w:rsidR="006D724E" w:rsidRPr="00F8725B" w:rsidRDefault="009F37FD" w:rsidP="00CC09E7">
      <w:pPr>
        <w:pStyle w:val="BodyText"/>
        <w:ind w:left="919" w:right="992"/>
        <w:jc w:val="both"/>
      </w:pPr>
      <w:r w:rsidRPr="00F8725B">
        <w:t xml:space="preserve">Schools must provide the Authority with a copy of the signed new bank account mandate </w:t>
      </w:r>
      <w:proofErr w:type="gramStart"/>
      <w:r w:rsidRPr="00F8725B">
        <w:t>in order to</w:t>
      </w:r>
      <w:proofErr w:type="gramEnd"/>
      <w:r w:rsidRPr="00F8725B">
        <w:t xml:space="preserve"> facilitate a change in the bank account that cash instalments are paid in to.</w:t>
      </w:r>
    </w:p>
    <w:p w14:paraId="52BFCCD5" w14:textId="77777777" w:rsidR="006D724E" w:rsidRPr="00F8725B" w:rsidRDefault="006D724E" w:rsidP="00CC09E7">
      <w:pPr>
        <w:pStyle w:val="BodyText"/>
        <w:ind w:left="919" w:right="992"/>
        <w:jc w:val="both"/>
      </w:pPr>
    </w:p>
    <w:p w14:paraId="52BFCCD6" w14:textId="77777777" w:rsidR="006D724E" w:rsidRPr="00F8725B" w:rsidRDefault="009F37FD" w:rsidP="00CC09E7">
      <w:pPr>
        <w:pStyle w:val="BodyText"/>
        <w:ind w:left="919" w:right="992"/>
        <w:jc w:val="both"/>
      </w:pPr>
      <w:r w:rsidRPr="00F8725B">
        <w:t>Schools must ensure an update copy of the bank mandate is retained in schools and is available for inspection by the Authority or its auditors at any time.</w:t>
      </w:r>
    </w:p>
    <w:p w14:paraId="52BFCCD7" w14:textId="77777777" w:rsidR="006D724E" w:rsidRPr="00F8725B" w:rsidRDefault="006D724E" w:rsidP="00CC09E7">
      <w:pPr>
        <w:pStyle w:val="BodyText"/>
        <w:ind w:left="919" w:right="992"/>
        <w:jc w:val="both"/>
      </w:pPr>
    </w:p>
    <w:p w14:paraId="52BFCCD8" w14:textId="77777777" w:rsidR="006D724E" w:rsidRDefault="009F37FD" w:rsidP="00CC09E7">
      <w:pPr>
        <w:pStyle w:val="BodyText"/>
        <w:ind w:left="919" w:right="992"/>
        <w:jc w:val="both"/>
      </w:pPr>
      <w:r w:rsidRPr="00F8725B">
        <w:t>Schools may invest surplus cash resources in higher interest facilities with their bank.</w:t>
      </w:r>
    </w:p>
    <w:p w14:paraId="52BFCCD9" w14:textId="77777777" w:rsidR="006D724E" w:rsidRPr="00633242" w:rsidRDefault="006D724E" w:rsidP="006D724E">
      <w:pPr>
        <w:pStyle w:val="BodyText"/>
        <w:ind w:left="917" w:right="995"/>
        <w:jc w:val="both"/>
      </w:pPr>
    </w:p>
    <w:p w14:paraId="52BFCCDA" w14:textId="77777777" w:rsidR="006D724E" w:rsidRPr="00F8725B" w:rsidRDefault="009F37FD" w:rsidP="006D724E">
      <w:pPr>
        <w:pStyle w:val="Heading1"/>
        <w:tabs>
          <w:tab w:val="left" w:pos="1637"/>
          <w:tab w:val="left" w:pos="1639"/>
        </w:tabs>
        <w:rPr>
          <w:sz w:val="24"/>
          <w:szCs w:val="24"/>
        </w:rPr>
      </w:pPr>
      <w:r w:rsidRPr="00F8725B">
        <w:rPr>
          <w:sz w:val="24"/>
          <w:szCs w:val="24"/>
        </w:rPr>
        <w:t>3.5.1</w:t>
      </w:r>
      <w:r w:rsidRPr="00F8725B">
        <w:rPr>
          <w:sz w:val="24"/>
          <w:szCs w:val="24"/>
        </w:rPr>
        <w:tab/>
        <w:t>Restrictions on Accounts</w:t>
      </w:r>
    </w:p>
    <w:p w14:paraId="52BFCCDB" w14:textId="23B71468" w:rsidR="006D724E" w:rsidRPr="00F8725B" w:rsidRDefault="009F37FD" w:rsidP="00CC09E7">
      <w:pPr>
        <w:pStyle w:val="BodyText"/>
        <w:ind w:left="917" w:right="1037"/>
        <w:jc w:val="both"/>
      </w:pPr>
      <w:r w:rsidRPr="00F8725B">
        <w:t>Schools shall have their accounts with one of the banks/building societies approved by the S151 Officer.  This list will be updated in line with the A</w:t>
      </w:r>
      <w:r w:rsidR="009C2401">
        <w:t>uthority’s Treasury Management P</w:t>
      </w:r>
      <w:r w:rsidRPr="00F8725B">
        <w:t>olicy and schools shall be notified of any changes.  If a school intends to open a new account, it shall first obtain confirmation from Finance Management that the proposed bank is on the approved list.</w:t>
      </w:r>
    </w:p>
    <w:p w14:paraId="52BFCCDC" w14:textId="77777777" w:rsidR="006D724E" w:rsidRPr="00F8725B" w:rsidRDefault="006D724E" w:rsidP="00CC09E7">
      <w:pPr>
        <w:pStyle w:val="BodyText"/>
        <w:ind w:left="917" w:right="1037"/>
        <w:jc w:val="both"/>
      </w:pPr>
    </w:p>
    <w:p w14:paraId="52BFCCDD" w14:textId="77777777" w:rsidR="006D724E" w:rsidRPr="00F8725B" w:rsidRDefault="009F37FD" w:rsidP="00CC09E7">
      <w:pPr>
        <w:pStyle w:val="BodyText"/>
        <w:ind w:left="917" w:right="995"/>
        <w:jc w:val="both"/>
      </w:pPr>
      <w:r w:rsidRPr="00F8725B">
        <w:t>Schools are not permitted to hold Debit Cards for their current account.</w:t>
      </w:r>
    </w:p>
    <w:p w14:paraId="52BFCCDE" w14:textId="77777777" w:rsidR="006D724E" w:rsidRPr="00F8725B" w:rsidRDefault="006D724E" w:rsidP="00CC09E7">
      <w:pPr>
        <w:pStyle w:val="BodyText"/>
        <w:ind w:left="917" w:right="995"/>
        <w:jc w:val="both"/>
      </w:pPr>
    </w:p>
    <w:p w14:paraId="52BFCCDF" w14:textId="77777777" w:rsidR="006D724E" w:rsidRPr="00F8725B" w:rsidRDefault="009F37FD" w:rsidP="00CC09E7">
      <w:pPr>
        <w:pStyle w:val="BodyText"/>
        <w:ind w:left="917" w:right="995"/>
        <w:jc w:val="both"/>
      </w:pPr>
      <w:r w:rsidRPr="00F8725B">
        <w:t>The school bank account should bear the official title of the school, and schools shall ensure that its bank mandate provides that the Authority is the owner of the funds in the account; that it is entitled to receive statements; and that it can take control of the account if the school’s right to a delegated budget is suspended by the Authority.</w:t>
      </w:r>
    </w:p>
    <w:p w14:paraId="52BFCCE0" w14:textId="77777777" w:rsidR="006D724E" w:rsidRPr="00F8725B" w:rsidRDefault="006D724E" w:rsidP="00CC09E7">
      <w:pPr>
        <w:pStyle w:val="BodyText"/>
        <w:ind w:left="917" w:right="995"/>
        <w:jc w:val="both"/>
      </w:pPr>
    </w:p>
    <w:p w14:paraId="52BFCCE1" w14:textId="2C73E585" w:rsidR="006D724E" w:rsidRPr="00F8725B" w:rsidRDefault="009F37FD" w:rsidP="00CC09E7">
      <w:pPr>
        <w:pStyle w:val="BodyText"/>
        <w:ind w:left="917" w:right="1037"/>
        <w:jc w:val="both"/>
      </w:pPr>
      <w:r w:rsidRPr="00F8725B">
        <w:t xml:space="preserve">Signatories to bank accounts shall be restricted to employees </w:t>
      </w:r>
      <w:r w:rsidR="009C2401">
        <w:t>of the Authority or the schools.</w:t>
      </w:r>
      <w:r w:rsidRPr="00F8725B">
        <w:t xml:space="preserve"> School </w:t>
      </w:r>
      <w:r w:rsidRPr="00F8725B">
        <w:lastRenderedPageBreak/>
        <w:t xml:space="preserve">governors who are not members of staff are not </w:t>
      </w:r>
      <w:r w:rsidR="009C2401">
        <w:t xml:space="preserve">permitted to being signatories. </w:t>
      </w:r>
      <w:r w:rsidRPr="00F8725B">
        <w:t xml:space="preserve"> Bank mandates must be signed by two authorised signatories for cheques.</w:t>
      </w:r>
      <w:r w:rsidR="009C2401">
        <w:t xml:space="preserve"> </w:t>
      </w:r>
      <w:r w:rsidRPr="00F8725B">
        <w:t xml:space="preserve"> Copies of the mandates must be retained on file at the school.</w:t>
      </w:r>
    </w:p>
    <w:p w14:paraId="52BFCCE2" w14:textId="77777777" w:rsidR="006D724E" w:rsidRPr="00F8725B" w:rsidRDefault="006D724E" w:rsidP="00CC09E7">
      <w:pPr>
        <w:pStyle w:val="BodyText"/>
        <w:ind w:left="917" w:right="995"/>
        <w:jc w:val="both"/>
      </w:pPr>
    </w:p>
    <w:p w14:paraId="52BFCCE3" w14:textId="77777777" w:rsidR="006D724E" w:rsidRPr="00F8725B" w:rsidRDefault="009F37FD" w:rsidP="009C2401">
      <w:pPr>
        <w:pStyle w:val="BodyText"/>
        <w:ind w:left="917" w:right="1060"/>
        <w:jc w:val="both"/>
      </w:pPr>
      <w:r w:rsidRPr="00F8725B">
        <w:t>Money paid by the Local Authority and held in school bank accounts remains the property of the Local Authority until spent. (s.49(5) of the School Standards and Framework Act, 1998).</w:t>
      </w:r>
    </w:p>
    <w:p w14:paraId="52BFCCE4" w14:textId="77777777" w:rsidR="006D724E" w:rsidRPr="000D38F6" w:rsidRDefault="006D724E" w:rsidP="00CC09E7">
      <w:pPr>
        <w:pStyle w:val="BodyText"/>
        <w:jc w:val="both"/>
      </w:pPr>
    </w:p>
    <w:p w14:paraId="52BFCCE5" w14:textId="77777777" w:rsidR="006D724E" w:rsidRPr="00F8725B" w:rsidRDefault="009F37FD" w:rsidP="00CC09E7">
      <w:pPr>
        <w:pStyle w:val="BodyText"/>
        <w:ind w:left="917" w:right="1060"/>
        <w:jc w:val="both"/>
      </w:pPr>
      <w:r w:rsidRPr="00F8725B">
        <w:t>The schools contract with its bank must include a clause stating that at no time may the school bank account go into overdraft.</w:t>
      </w:r>
    </w:p>
    <w:p w14:paraId="52BFCCE6" w14:textId="77777777" w:rsidR="006D724E" w:rsidRPr="000D38F6" w:rsidRDefault="006D724E" w:rsidP="00CC09E7">
      <w:pPr>
        <w:pStyle w:val="BodyText"/>
        <w:ind w:right="1060"/>
        <w:jc w:val="both"/>
      </w:pPr>
    </w:p>
    <w:p w14:paraId="52BFCCE7" w14:textId="77777777" w:rsidR="006D724E" w:rsidRPr="00F8725B" w:rsidRDefault="009F37FD" w:rsidP="00CC09E7">
      <w:pPr>
        <w:pStyle w:val="BodyText"/>
        <w:ind w:left="917" w:right="1060"/>
        <w:jc w:val="both"/>
      </w:pPr>
      <w:r w:rsidRPr="00F8725B">
        <w:t>The school must provide bank account returns in the form and timescale detailed by the Local Authority.</w:t>
      </w:r>
    </w:p>
    <w:p w14:paraId="52BFCCE9" w14:textId="77777777" w:rsidR="006D724E" w:rsidRPr="00EE7C68" w:rsidRDefault="006D724E" w:rsidP="006D724E">
      <w:pPr>
        <w:pStyle w:val="BodyText"/>
        <w:rPr>
          <w:highlight w:val="yellow"/>
        </w:rPr>
      </w:pPr>
    </w:p>
    <w:p w14:paraId="52BFCCEA" w14:textId="77777777" w:rsidR="006D724E" w:rsidRPr="008163E6" w:rsidRDefault="009F37FD" w:rsidP="006D724E">
      <w:pPr>
        <w:pStyle w:val="Heading1"/>
        <w:numPr>
          <w:ilvl w:val="1"/>
          <w:numId w:val="6"/>
        </w:numPr>
        <w:tabs>
          <w:tab w:val="left" w:pos="1637"/>
          <w:tab w:val="left" w:pos="1639"/>
        </w:tabs>
      </w:pPr>
      <w:r w:rsidRPr="008163E6">
        <w:t>Borrowing by</w:t>
      </w:r>
      <w:r w:rsidRPr="008163E6">
        <w:rPr>
          <w:spacing w:val="-10"/>
        </w:rPr>
        <w:t xml:space="preserve"> </w:t>
      </w:r>
      <w:r w:rsidRPr="008163E6">
        <w:t>Schools</w:t>
      </w:r>
    </w:p>
    <w:p w14:paraId="52BFCCEB" w14:textId="77777777" w:rsidR="006D724E" w:rsidRDefault="009F37FD" w:rsidP="00CC09E7">
      <w:pPr>
        <w:pStyle w:val="BodyText"/>
        <w:ind w:left="917" w:right="1060"/>
        <w:jc w:val="both"/>
      </w:pPr>
      <w:r w:rsidRPr="008163E6">
        <w:t>Governing bodies can only borrow money with the written permission of the Secretary of State. This does not apply to any loan scheme run internally by the Local Authority (see 4.10).</w:t>
      </w:r>
    </w:p>
    <w:p w14:paraId="17C60403" w14:textId="77777777" w:rsidR="00D86818" w:rsidRPr="008163E6" w:rsidRDefault="00D86818" w:rsidP="00CC09E7">
      <w:pPr>
        <w:pStyle w:val="BodyText"/>
        <w:ind w:left="917" w:right="1060"/>
        <w:jc w:val="both"/>
      </w:pPr>
    </w:p>
    <w:p w14:paraId="52BFCCEC" w14:textId="54A0BED9" w:rsidR="006D724E" w:rsidRPr="00A02556" w:rsidRDefault="00D86818" w:rsidP="00D86818">
      <w:pPr>
        <w:pStyle w:val="BodyText"/>
        <w:ind w:left="917" w:right="1060"/>
        <w:jc w:val="both"/>
      </w:pPr>
      <w:r w:rsidRPr="00A02556">
        <w:t>The introduction of IFRS16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p>
    <w:p w14:paraId="5A62018A" w14:textId="77777777" w:rsidR="00D86818" w:rsidRPr="00A02556" w:rsidRDefault="00D86818" w:rsidP="00D86818">
      <w:pPr>
        <w:pStyle w:val="BodyText"/>
        <w:ind w:left="917" w:right="1060"/>
        <w:jc w:val="both"/>
      </w:pPr>
    </w:p>
    <w:p w14:paraId="35E91F1E" w14:textId="77777777" w:rsidR="00D86818" w:rsidRDefault="00D86818" w:rsidP="00CC09E7">
      <w:pPr>
        <w:pStyle w:val="BodyText"/>
        <w:ind w:left="917" w:right="1060"/>
        <w:jc w:val="both"/>
      </w:pPr>
      <w:r w:rsidRPr="00A02556">
        <w:t xml:space="preserve">The Secretary of State has, however, agreed to provide blanket consent to a range of the most common leasing activities, as set out in the </w:t>
      </w:r>
      <w:hyperlink r:id="rId24" w:history="1">
        <w:r w:rsidRPr="00A02556">
          <w:rPr>
            <w:color w:val="1D70B8"/>
            <w:u w:val="single"/>
            <w:shd w:val="clear" w:color="auto" w:fill="FFFFFF"/>
          </w:rPr>
          <w:t>IFRS16 Maintained Schools Finance Lease Class Consent 2024</w:t>
        </w:r>
      </w:hyperlink>
      <w:r w:rsidRPr="00A02556">
        <w:t>. Leases not included in this Order will still require the written consent of the Secretary of State, and it remains the general position that schools will only be granted permission for other types of borrowing in exceptional circumstances.</w:t>
      </w:r>
      <w:r w:rsidRPr="00D86818">
        <w:t xml:space="preserve"> </w:t>
      </w:r>
    </w:p>
    <w:p w14:paraId="15416A06" w14:textId="77777777" w:rsidR="00D86818" w:rsidRDefault="00D86818" w:rsidP="00CC09E7">
      <w:pPr>
        <w:pStyle w:val="BodyText"/>
        <w:ind w:left="917" w:right="1060"/>
        <w:jc w:val="both"/>
      </w:pPr>
    </w:p>
    <w:p w14:paraId="5B663836" w14:textId="4B5BA122" w:rsidR="00B8696B" w:rsidRDefault="00D86818" w:rsidP="00CC09E7">
      <w:pPr>
        <w:pStyle w:val="BodyText"/>
        <w:ind w:left="917" w:right="1060"/>
        <w:jc w:val="both"/>
      </w:pPr>
      <w:r w:rsidRPr="00D86818">
        <w:t>From time to time, however, the Secretary of State may introduce limited schemes to meet broader policy objectives.</w:t>
      </w:r>
      <w:r w:rsidR="009F37FD">
        <w:t xml:space="preserve"> </w:t>
      </w:r>
    </w:p>
    <w:p w14:paraId="52BFCCF0" w14:textId="77777777" w:rsidR="006D724E" w:rsidRPr="00EE7C68" w:rsidRDefault="006D724E" w:rsidP="00CC09E7">
      <w:pPr>
        <w:pStyle w:val="BodyText"/>
        <w:ind w:right="1060"/>
        <w:jc w:val="both"/>
      </w:pPr>
    </w:p>
    <w:p w14:paraId="52BFCCF1" w14:textId="77777777" w:rsidR="006D724E" w:rsidRDefault="009F37FD" w:rsidP="00CC09E7">
      <w:pPr>
        <w:pStyle w:val="BodyText"/>
        <w:ind w:left="917" w:right="1060"/>
        <w:jc w:val="both"/>
      </w:pPr>
      <w:r w:rsidRPr="00504024">
        <w:t xml:space="preserve">Schools are not allowed to </w:t>
      </w:r>
      <w:proofErr w:type="gramStart"/>
      <w:r w:rsidRPr="00504024">
        <w:t>enter into</w:t>
      </w:r>
      <w:proofErr w:type="gramEnd"/>
      <w:r w:rsidRPr="00504024">
        <w:t xml:space="preserve"> credit arrangements (including leases) without approval of the Authority or obtain credit cards or store cards which are regarded as borrowing.  However, schools can use Procurement Cards (e.g. the Schools Charge Card available through Lloyds Bank) issued by some banks as a useful means of facilitating electronic purchase.</w:t>
      </w:r>
    </w:p>
    <w:p w14:paraId="52BFCCF2" w14:textId="77777777" w:rsidR="006D724E" w:rsidRPr="00EE7C68" w:rsidRDefault="006D724E" w:rsidP="006D724E">
      <w:pPr>
        <w:pStyle w:val="BodyText"/>
        <w:rPr>
          <w:highlight w:val="yellow"/>
        </w:rPr>
      </w:pPr>
    </w:p>
    <w:p w14:paraId="52BFCCF3" w14:textId="7B9D8E53" w:rsidR="006D724E" w:rsidRPr="0017132A" w:rsidRDefault="009F37FD" w:rsidP="00CC09E7">
      <w:pPr>
        <w:pStyle w:val="BodyText"/>
        <w:ind w:left="917" w:right="1060"/>
        <w:jc w:val="both"/>
      </w:pPr>
      <w:r w:rsidRPr="0017132A">
        <w:t>Any school which is considering entering into a lease agreem</w:t>
      </w:r>
      <w:r w:rsidR="00255932">
        <w:t xml:space="preserve">ent must contact the Authority. </w:t>
      </w:r>
      <w:r w:rsidRPr="0017132A">
        <w:t xml:space="preserve"> This will ensure that any lease </w:t>
      </w:r>
      <w:proofErr w:type="gramStart"/>
      <w:r w:rsidRPr="0017132A">
        <w:t>entered into</w:t>
      </w:r>
      <w:proofErr w:type="gramEnd"/>
      <w:r w:rsidRPr="0017132A">
        <w:t xml:space="preserve"> by a school will meet all necessary conditions required under the Authority’s financial regulations.</w:t>
      </w:r>
    </w:p>
    <w:p w14:paraId="52BFCCF4" w14:textId="77777777" w:rsidR="006D724E" w:rsidRPr="00171E64" w:rsidRDefault="006D724E" w:rsidP="00CC09E7">
      <w:pPr>
        <w:pStyle w:val="BodyText"/>
        <w:ind w:left="917" w:right="1060"/>
        <w:jc w:val="both"/>
      </w:pPr>
    </w:p>
    <w:p w14:paraId="52BFCCF5" w14:textId="0B26D288" w:rsidR="006D724E" w:rsidRPr="00171E64" w:rsidRDefault="009F37FD" w:rsidP="00CC09E7">
      <w:pPr>
        <w:pStyle w:val="BodyText"/>
        <w:ind w:left="917" w:right="1060"/>
        <w:jc w:val="both"/>
      </w:pPr>
      <w:r w:rsidRPr="00171E64">
        <w:t xml:space="preserve">This does not apply to Trustees and Foundations, whose borrowing, as private bodies, makes no impact on Government accounts. </w:t>
      </w:r>
      <w:r w:rsidR="00255932">
        <w:t xml:space="preserve"> </w:t>
      </w:r>
      <w:r w:rsidRPr="00171E64">
        <w:t>However, any debts arising from borrowing may not be serviced directly from the delegated budget.</w:t>
      </w:r>
      <w:r w:rsidR="00255932">
        <w:t xml:space="preserve"> </w:t>
      </w:r>
      <w:r w:rsidRPr="00171E64">
        <w:t xml:space="preserve"> Schools are free to agree a charge for a service which the Trustees or Foundation </w:t>
      </w:r>
      <w:proofErr w:type="gramStart"/>
      <w:r w:rsidRPr="00171E64">
        <w:t>are able to</w:t>
      </w:r>
      <w:proofErr w:type="gramEnd"/>
      <w:r w:rsidRPr="00171E64">
        <w:t xml:space="preserve"> provide </w:t>
      </w:r>
      <w:proofErr w:type="gramStart"/>
      <w:r w:rsidRPr="00171E64">
        <w:t>as a consequence of</w:t>
      </w:r>
      <w:proofErr w:type="gramEnd"/>
      <w:r w:rsidRPr="00171E64">
        <w:t xml:space="preserve"> their borrowing.</w:t>
      </w:r>
    </w:p>
    <w:p w14:paraId="52BFCCF6" w14:textId="77777777" w:rsidR="006D724E" w:rsidRPr="00CC09E7" w:rsidRDefault="006D724E" w:rsidP="00CC09E7">
      <w:pPr>
        <w:pStyle w:val="BodyText"/>
        <w:ind w:right="1060"/>
        <w:jc w:val="both"/>
        <w:rPr>
          <w:highlight w:val="yellow"/>
        </w:rPr>
      </w:pPr>
    </w:p>
    <w:p w14:paraId="52BFCCF7" w14:textId="4AE4F0D3" w:rsidR="006D724E" w:rsidRDefault="009F37FD" w:rsidP="00CC09E7">
      <w:pPr>
        <w:pStyle w:val="BodyText"/>
        <w:ind w:left="917" w:right="1060"/>
        <w:jc w:val="both"/>
      </w:pPr>
      <w:r>
        <w:t>Governing bodi</w:t>
      </w:r>
      <w:r w:rsidR="00255932">
        <w:t>es do not act as agents of the A</w:t>
      </w:r>
      <w:r>
        <w:t>uthority when repaying loans.</w:t>
      </w:r>
    </w:p>
    <w:p w14:paraId="52BFCCF8" w14:textId="77777777" w:rsidR="006D724E" w:rsidRDefault="006D724E" w:rsidP="006D724E">
      <w:pPr>
        <w:pStyle w:val="BodyText"/>
        <w:rPr>
          <w:sz w:val="20"/>
        </w:rPr>
      </w:pPr>
    </w:p>
    <w:p w14:paraId="52BFCCF9" w14:textId="77777777" w:rsidR="006D724E" w:rsidRDefault="006D724E">
      <w:pPr>
        <w:pStyle w:val="BodyText"/>
        <w:spacing w:before="5"/>
        <w:rPr>
          <w:sz w:val="20"/>
        </w:rPr>
      </w:pPr>
    </w:p>
    <w:p w14:paraId="52BFCCFB" w14:textId="77777777" w:rsidR="006D724E" w:rsidRDefault="009F37FD" w:rsidP="006D724E">
      <w:pPr>
        <w:pStyle w:val="ListParagraph"/>
        <w:numPr>
          <w:ilvl w:val="0"/>
          <w:numId w:val="5"/>
        </w:numPr>
        <w:tabs>
          <w:tab w:val="left" w:pos="1637"/>
          <w:tab w:val="left" w:pos="1639"/>
        </w:tabs>
        <w:spacing w:before="68"/>
        <w:ind w:right="1930" w:firstLine="0"/>
        <w:rPr>
          <w:b/>
          <w:sz w:val="36"/>
        </w:rPr>
      </w:pPr>
      <w:r>
        <w:rPr>
          <w:b/>
          <w:sz w:val="36"/>
        </w:rPr>
        <w:t>The Treatment of Surplus and Deficit</w:t>
      </w:r>
      <w:r>
        <w:rPr>
          <w:b/>
          <w:spacing w:val="-10"/>
          <w:sz w:val="36"/>
        </w:rPr>
        <w:t xml:space="preserve"> </w:t>
      </w:r>
      <w:r>
        <w:rPr>
          <w:b/>
          <w:sz w:val="36"/>
        </w:rPr>
        <w:t>Balances Arising in Relation to Budget</w:t>
      </w:r>
      <w:r>
        <w:rPr>
          <w:b/>
          <w:spacing w:val="-4"/>
          <w:sz w:val="36"/>
        </w:rPr>
        <w:t xml:space="preserve"> </w:t>
      </w:r>
      <w:r>
        <w:rPr>
          <w:b/>
          <w:sz w:val="36"/>
        </w:rPr>
        <w:t>Shares</w:t>
      </w:r>
    </w:p>
    <w:p w14:paraId="52BFCCFC" w14:textId="7BD7B240" w:rsidR="006D724E" w:rsidRDefault="00B158BB" w:rsidP="006D724E">
      <w:pPr>
        <w:pStyle w:val="ListParagraph"/>
        <w:numPr>
          <w:ilvl w:val="1"/>
          <w:numId w:val="5"/>
        </w:numPr>
        <w:tabs>
          <w:tab w:val="left" w:pos="1637"/>
          <w:tab w:val="left" w:pos="1639"/>
        </w:tabs>
        <w:spacing w:before="325"/>
        <w:rPr>
          <w:b/>
          <w:sz w:val="28"/>
        </w:rPr>
      </w:pPr>
      <w:r>
        <w:rPr>
          <w:b/>
          <w:sz w:val="28"/>
        </w:rPr>
        <w:t>The Right to Carry F</w:t>
      </w:r>
      <w:r w:rsidR="009F37FD">
        <w:rPr>
          <w:b/>
          <w:sz w:val="28"/>
        </w:rPr>
        <w:t>orward Surplus</w:t>
      </w:r>
      <w:r w:rsidR="009F37FD">
        <w:rPr>
          <w:b/>
          <w:spacing w:val="-12"/>
          <w:sz w:val="28"/>
        </w:rPr>
        <w:t xml:space="preserve"> </w:t>
      </w:r>
      <w:r w:rsidR="009F37FD">
        <w:rPr>
          <w:b/>
          <w:sz w:val="28"/>
        </w:rPr>
        <w:t>Balances</w:t>
      </w:r>
    </w:p>
    <w:p w14:paraId="52BFCCFD" w14:textId="77777777" w:rsidR="006D724E" w:rsidRDefault="009F37FD" w:rsidP="00CC09E7">
      <w:pPr>
        <w:pStyle w:val="BodyText"/>
        <w:spacing w:before="1"/>
        <w:ind w:left="919" w:right="1060"/>
        <w:jc w:val="both"/>
      </w:pPr>
      <w:r w:rsidRPr="00861E23">
        <w:t xml:space="preserve">Schools shall carry forward from one year to the next, all accumulated balances arising from the budget share.  Thus, the accumulated balance as </w:t>
      </w:r>
      <w:proofErr w:type="gramStart"/>
      <w:r w:rsidRPr="00861E23">
        <w:t>at</w:t>
      </w:r>
      <w:proofErr w:type="gramEnd"/>
      <w:r w:rsidRPr="00861E23">
        <w:t xml:space="preserve"> 31 March will become the school’s brought forward balance </w:t>
      </w:r>
      <w:proofErr w:type="gramStart"/>
      <w:r w:rsidRPr="00861E23">
        <w:t>at</w:t>
      </w:r>
      <w:proofErr w:type="gramEnd"/>
      <w:r w:rsidRPr="00861E23">
        <w:t xml:space="preserve"> 1 April.  This process will continue for each successive year.  As detailed in </w:t>
      </w:r>
      <w:r w:rsidRPr="00861E23">
        <w:lastRenderedPageBreak/>
        <w:t>section 3.2 above, an adjustment will be made to budget share instalments after the year end reconciliation has taken place and the level of any cash owed to or from the school has been determined.</w:t>
      </w:r>
    </w:p>
    <w:p w14:paraId="52BFCCFE" w14:textId="77777777" w:rsidR="006D724E" w:rsidRPr="00861E23" w:rsidRDefault="006D724E" w:rsidP="006D724E">
      <w:pPr>
        <w:pStyle w:val="BodyText"/>
        <w:spacing w:before="1" w:line="264" w:lineRule="auto"/>
        <w:ind w:left="917" w:right="1551"/>
      </w:pPr>
    </w:p>
    <w:p w14:paraId="52BFCCFF" w14:textId="77777777" w:rsidR="006D724E" w:rsidRDefault="009F37FD" w:rsidP="006D724E">
      <w:pPr>
        <w:pStyle w:val="Heading1"/>
        <w:numPr>
          <w:ilvl w:val="1"/>
          <w:numId w:val="5"/>
        </w:numPr>
        <w:tabs>
          <w:tab w:val="left" w:pos="1637"/>
          <w:tab w:val="left" w:pos="1639"/>
        </w:tabs>
      </w:pPr>
      <w:r>
        <w:t>Controls on Surplus</w:t>
      </w:r>
      <w:r>
        <w:rPr>
          <w:spacing w:val="2"/>
        </w:rPr>
        <w:t xml:space="preserve"> </w:t>
      </w:r>
      <w:r>
        <w:t>Balances</w:t>
      </w:r>
    </w:p>
    <w:p w14:paraId="52BFCD00" w14:textId="77777777" w:rsidR="006D724E" w:rsidRDefault="009F37FD" w:rsidP="00A65AF1">
      <w:pPr>
        <w:pStyle w:val="BodyText"/>
        <w:spacing w:before="1"/>
        <w:ind w:left="917" w:right="1060"/>
        <w:jc w:val="both"/>
      </w:pPr>
      <w:r>
        <w:t>Surplus balances held by schools as permitted under this scheme are subject to the following restrictions:</w:t>
      </w:r>
    </w:p>
    <w:p w14:paraId="52BFCD01" w14:textId="77777777" w:rsidR="006D724E" w:rsidRDefault="006D724E" w:rsidP="00CC09E7">
      <w:pPr>
        <w:pStyle w:val="BodyText"/>
        <w:spacing w:before="1"/>
        <w:ind w:left="917" w:right="1202"/>
        <w:jc w:val="both"/>
      </w:pPr>
    </w:p>
    <w:p w14:paraId="52BFCD02" w14:textId="5367BA89" w:rsidR="006D724E" w:rsidRDefault="009F37FD" w:rsidP="00A65AF1">
      <w:pPr>
        <w:pStyle w:val="BodyText"/>
        <w:numPr>
          <w:ilvl w:val="0"/>
          <w:numId w:val="17"/>
        </w:numPr>
        <w:spacing w:before="1"/>
        <w:ind w:right="1060"/>
        <w:jc w:val="both"/>
      </w:pPr>
      <w:r>
        <w:t>Both the Authority and Schools</w:t>
      </w:r>
      <w:r w:rsidR="00A65AF1">
        <w:t>’</w:t>
      </w:r>
      <w:r>
        <w:t xml:space="preserve"> Forum are entitled to request information on the proposed use of surplus balances from any school where the </w:t>
      </w:r>
      <w:r w:rsidRPr="000C54AE">
        <w:t>budget plan project</w:t>
      </w:r>
      <w:r>
        <w:t>s</w:t>
      </w:r>
      <w:r w:rsidRPr="000C54AE">
        <w:t xml:space="preserve"> a year end surplus balance in excess of the pe</w:t>
      </w:r>
      <w:r>
        <w:t xml:space="preserve">rmitted threshold </w:t>
      </w:r>
      <w:r w:rsidRPr="00F678B3">
        <w:t>(9% Secondary and 12% Primary and Special Schools)</w:t>
      </w:r>
      <w:r>
        <w:t xml:space="preserve"> at the end of financial year, or in the view of the Authority, the level of surplus balances may be cause for concern. </w:t>
      </w:r>
    </w:p>
    <w:p w14:paraId="52BFCD03" w14:textId="77777777" w:rsidR="006D724E" w:rsidRDefault="006D724E" w:rsidP="00CC09E7">
      <w:pPr>
        <w:pStyle w:val="BodyText"/>
        <w:spacing w:before="1"/>
        <w:ind w:left="917" w:right="1202"/>
        <w:jc w:val="both"/>
      </w:pPr>
    </w:p>
    <w:p w14:paraId="52BFCD04" w14:textId="7F5CA68E" w:rsidR="006D724E" w:rsidRDefault="009F37FD" w:rsidP="00A65AF1">
      <w:pPr>
        <w:pStyle w:val="BodyText"/>
        <w:numPr>
          <w:ilvl w:val="0"/>
          <w:numId w:val="17"/>
        </w:numPr>
        <w:tabs>
          <w:tab w:val="left" w:pos="10490"/>
        </w:tabs>
        <w:spacing w:before="1"/>
        <w:ind w:right="1060"/>
        <w:jc w:val="both"/>
      </w:pPr>
      <w:r>
        <w:t>The information requested from schools on the proposed use of revenue surplus bala</w:t>
      </w:r>
      <w:r w:rsidR="00A65AF1">
        <w:t>nces will be reported to School</w:t>
      </w:r>
      <w:r>
        <w:t>s</w:t>
      </w:r>
      <w:r w:rsidR="00A65AF1">
        <w:t>’</w:t>
      </w:r>
      <w:r>
        <w:t xml:space="preserve"> Forum on at least an annual basis.   </w:t>
      </w:r>
      <w:proofErr w:type="gramStart"/>
      <w:r>
        <w:t>Schools</w:t>
      </w:r>
      <w:r w:rsidR="00A65AF1">
        <w:t>’</w:t>
      </w:r>
      <w:r>
        <w:t xml:space="preserve"> Forum,</w:t>
      </w:r>
      <w:proofErr w:type="gramEnd"/>
      <w:r>
        <w:t xml:space="preserve"> will </w:t>
      </w:r>
      <w:proofErr w:type="gramStart"/>
      <w:r>
        <w:t>make a decision</w:t>
      </w:r>
      <w:proofErr w:type="gramEnd"/>
      <w:r>
        <w:t xml:space="preserve"> as to whether any of the surplus will be clawed back.  If this were to happen, Schools Forum</w:t>
      </w:r>
      <w:r w:rsidR="00A65AF1">
        <w:t>’</w:t>
      </w:r>
      <w:r>
        <w:t xml:space="preserve"> will decide how any clawed bac</w:t>
      </w:r>
      <w:r w:rsidR="00A65AF1">
        <w:t>k surplus will be redistributed</w:t>
      </w:r>
      <w:r>
        <w:t>.</w:t>
      </w:r>
    </w:p>
    <w:p w14:paraId="52BFCD05" w14:textId="77777777" w:rsidR="006D724E" w:rsidRDefault="006D724E" w:rsidP="00CC09E7">
      <w:pPr>
        <w:pStyle w:val="BodyText"/>
        <w:spacing w:before="1"/>
        <w:ind w:right="1202"/>
        <w:jc w:val="both"/>
      </w:pPr>
    </w:p>
    <w:p w14:paraId="52BFCD06" w14:textId="26494A2A" w:rsidR="006D724E" w:rsidRPr="00DC7A26" w:rsidRDefault="009F37FD" w:rsidP="00CC09E7">
      <w:pPr>
        <w:pStyle w:val="BodyText"/>
        <w:numPr>
          <w:ilvl w:val="0"/>
          <w:numId w:val="17"/>
        </w:numPr>
        <w:spacing w:before="1"/>
        <w:ind w:right="1202"/>
        <w:jc w:val="both"/>
      </w:pPr>
      <w:r w:rsidRPr="00DC7A26">
        <w:t>Schools Forum have approved 4 specific reason</w:t>
      </w:r>
      <w:r w:rsidR="00A65AF1">
        <w:t>s</w:t>
      </w:r>
      <w:r w:rsidRPr="00DC7A26">
        <w:t xml:space="preserve"> for holding surplus balances which are</w:t>
      </w:r>
      <w:r w:rsidR="00CC09E7">
        <w:t>:</w:t>
      </w:r>
    </w:p>
    <w:p w14:paraId="52BFCD07" w14:textId="77777777" w:rsidR="006D724E" w:rsidRPr="00DC7A26" w:rsidRDefault="006D724E" w:rsidP="00CC09E7">
      <w:pPr>
        <w:pStyle w:val="BodyText"/>
        <w:spacing w:before="1"/>
        <w:ind w:right="1202"/>
        <w:jc w:val="both"/>
      </w:pPr>
    </w:p>
    <w:p w14:paraId="52BFCD08" w14:textId="206EA035" w:rsidR="006D724E" w:rsidRPr="00DC7A26" w:rsidRDefault="009F37FD" w:rsidP="00CC09E7">
      <w:pPr>
        <w:pStyle w:val="BodyText"/>
        <w:numPr>
          <w:ilvl w:val="1"/>
          <w:numId w:val="17"/>
        </w:numPr>
        <w:spacing w:before="1"/>
        <w:ind w:right="1060"/>
        <w:jc w:val="both"/>
      </w:pPr>
      <w:r w:rsidRPr="00DC7A26">
        <w:t xml:space="preserve">As a revenue contribution to capital projects within a time limited maximum </w:t>
      </w:r>
      <w:r w:rsidR="0036598B" w:rsidRPr="00DC7A26">
        <w:t>3-year</w:t>
      </w:r>
      <w:r w:rsidRPr="00DC7A26">
        <w:t xml:space="preserve"> period.</w:t>
      </w:r>
      <w:r w:rsidRPr="00DC7A26">
        <w:tab/>
      </w:r>
      <w:r w:rsidRPr="00DC7A26">
        <w:tab/>
      </w:r>
      <w:r w:rsidRPr="00DC7A26">
        <w:tab/>
      </w:r>
      <w:r w:rsidRPr="00DC7A26">
        <w:tab/>
      </w:r>
    </w:p>
    <w:p w14:paraId="52BFCD09" w14:textId="77777777" w:rsidR="006D724E" w:rsidRPr="00DC7A26" w:rsidRDefault="009F37FD" w:rsidP="00CC09E7">
      <w:pPr>
        <w:pStyle w:val="BodyText"/>
        <w:numPr>
          <w:ilvl w:val="1"/>
          <w:numId w:val="17"/>
        </w:numPr>
        <w:spacing w:before="1"/>
        <w:ind w:right="1060"/>
        <w:jc w:val="both"/>
      </w:pPr>
      <w:r w:rsidRPr="00DC7A26">
        <w:t>To maintain a reserve to fund staffing levels in the short/medium term due to a verified dip in pupil numbers.</w:t>
      </w:r>
      <w:r w:rsidRPr="00DC7A26">
        <w:tab/>
      </w:r>
      <w:r w:rsidRPr="00DC7A26">
        <w:tab/>
      </w:r>
      <w:r w:rsidRPr="00DC7A26">
        <w:tab/>
      </w:r>
      <w:r w:rsidRPr="00DC7A26">
        <w:tab/>
      </w:r>
    </w:p>
    <w:p w14:paraId="52BFCD0A" w14:textId="77777777" w:rsidR="006D724E" w:rsidRPr="00DC7A26" w:rsidRDefault="009F37FD" w:rsidP="00CC09E7">
      <w:pPr>
        <w:pStyle w:val="BodyText"/>
        <w:numPr>
          <w:ilvl w:val="1"/>
          <w:numId w:val="17"/>
        </w:numPr>
        <w:spacing w:before="1"/>
        <w:ind w:right="1060"/>
        <w:jc w:val="both"/>
      </w:pPr>
      <w:r w:rsidRPr="00DC7A26">
        <w:t>To provide reasonable and proportionate resources to fund the impact of major changes in Government policy on the curriculum for multiple subject areas. Any decisions to retain surplus balances for this reason will be subject to review by the Local Authority.</w:t>
      </w:r>
      <w:r w:rsidRPr="00DC7A26">
        <w:tab/>
      </w:r>
      <w:r w:rsidRPr="00DC7A26">
        <w:tab/>
      </w:r>
      <w:r w:rsidRPr="00DC7A26">
        <w:tab/>
      </w:r>
      <w:r w:rsidRPr="00DC7A26">
        <w:tab/>
      </w:r>
    </w:p>
    <w:p w14:paraId="52BFCD0B" w14:textId="77777777" w:rsidR="006D724E" w:rsidRDefault="009F37FD" w:rsidP="00CC09E7">
      <w:pPr>
        <w:pStyle w:val="BodyText"/>
        <w:numPr>
          <w:ilvl w:val="1"/>
          <w:numId w:val="17"/>
        </w:numPr>
        <w:spacing w:before="1"/>
        <w:ind w:right="1060"/>
        <w:jc w:val="both"/>
      </w:pPr>
      <w:r w:rsidRPr="00DC7A26">
        <w:t>Capital funds set aside for future year</w:t>
      </w:r>
      <w:r>
        <w:t>’</w:t>
      </w:r>
      <w:r w:rsidRPr="00DC7A26">
        <w:t>s capital / lifecycle provision. Schools will be required to provide a summary business case explaining the reasons and this will be subject to review by the Local Authority.</w:t>
      </w:r>
    </w:p>
    <w:p w14:paraId="140198BB" w14:textId="77777777" w:rsidR="00310738" w:rsidRDefault="00310738" w:rsidP="00310738">
      <w:pPr>
        <w:pStyle w:val="BodyText"/>
        <w:spacing w:before="1" w:line="264" w:lineRule="auto"/>
        <w:ind w:left="2357" w:right="1551"/>
        <w:jc w:val="both"/>
      </w:pPr>
    </w:p>
    <w:p w14:paraId="1C4D003F" w14:textId="205F66FC" w:rsidR="00310738" w:rsidRDefault="00310738" w:rsidP="00310738">
      <w:pPr>
        <w:pStyle w:val="BodyText"/>
        <w:numPr>
          <w:ilvl w:val="0"/>
          <w:numId w:val="17"/>
        </w:numPr>
        <w:spacing w:before="1"/>
        <w:ind w:right="1551" w:hanging="357"/>
        <w:jc w:val="both"/>
      </w:pPr>
      <w:r>
        <w:t xml:space="preserve">A LA will allow schools to transfer balances into Capital </w:t>
      </w:r>
      <w:r w:rsidR="0036598B">
        <w:t>Reserve</w:t>
      </w:r>
      <w:r>
        <w:t xml:space="preserve"> to support schools facing delays in starting projects across financial years. </w:t>
      </w:r>
      <w:proofErr w:type="gramStart"/>
      <w:r>
        <w:t>A number of</w:t>
      </w:r>
      <w:proofErr w:type="gramEnd"/>
      <w:r>
        <w:t xml:space="preserve"> criteria will apply</w:t>
      </w:r>
      <w:r w:rsidRPr="009F37FD">
        <w:t>:</w:t>
      </w:r>
    </w:p>
    <w:p w14:paraId="61002432" w14:textId="226856B3" w:rsidR="00310738" w:rsidRPr="0036598B" w:rsidRDefault="00310738" w:rsidP="00310738">
      <w:pPr>
        <w:pStyle w:val="BodyText"/>
        <w:numPr>
          <w:ilvl w:val="1"/>
          <w:numId w:val="17"/>
        </w:numPr>
        <w:spacing w:before="1"/>
        <w:ind w:right="1551"/>
        <w:jc w:val="both"/>
      </w:pPr>
      <w:r>
        <w:rPr>
          <w:rFonts w:eastAsiaTheme="minorHAnsi"/>
          <w:lang w:eastAsia="en-US"/>
        </w:rPr>
        <w:t>The transfer of any balances will be subject to agreement with the LA on the specific capital project.</w:t>
      </w:r>
    </w:p>
    <w:p w14:paraId="422B78FB" w14:textId="7B02BF77" w:rsidR="00310738" w:rsidRPr="00310738" w:rsidRDefault="00310738" w:rsidP="00310738">
      <w:pPr>
        <w:pStyle w:val="ListParagraph"/>
        <w:numPr>
          <w:ilvl w:val="1"/>
          <w:numId w:val="17"/>
        </w:numPr>
      </w:pPr>
      <w:r w:rsidRPr="00310738">
        <w:t xml:space="preserve">If the scheme does not progress or is underspent the balance is not returned to the school but is instead treated as a surplus balance and subject to clawback (note: the 3 year and 50% criteria </w:t>
      </w:r>
      <w:r>
        <w:t>wi</w:t>
      </w:r>
      <w:r w:rsidRPr="00310738">
        <w:t>ll not apply)</w:t>
      </w:r>
    </w:p>
    <w:p w14:paraId="12138FCB" w14:textId="77777777" w:rsidR="009F37FD" w:rsidRDefault="009F37FD" w:rsidP="00CC09E7">
      <w:pPr>
        <w:pStyle w:val="BodyText"/>
        <w:spacing w:before="1" w:line="264" w:lineRule="auto"/>
        <w:ind w:left="2357" w:right="1551"/>
        <w:jc w:val="both"/>
      </w:pPr>
    </w:p>
    <w:p w14:paraId="33337F81" w14:textId="2629845D" w:rsidR="009F37FD" w:rsidRDefault="009F37FD" w:rsidP="00CC09E7">
      <w:pPr>
        <w:pStyle w:val="BodyText"/>
        <w:numPr>
          <w:ilvl w:val="0"/>
          <w:numId w:val="17"/>
        </w:numPr>
        <w:spacing w:before="1"/>
        <w:ind w:right="1551" w:hanging="357"/>
        <w:jc w:val="both"/>
      </w:pPr>
      <w:r>
        <w:t xml:space="preserve">Surplus </w:t>
      </w:r>
      <w:r w:rsidR="00A65AF1">
        <w:t>b</w:t>
      </w:r>
      <w:r>
        <w:t>alances</w:t>
      </w:r>
      <w:r w:rsidRPr="009F37FD">
        <w:t xml:space="preserve"> will be at risk of clawback subject to the following:</w:t>
      </w:r>
    </w:p>
    <w:p w14:paraId="6CEDFDF5" w14:textId="05358906" w:rsidR="009F37FD" w:rsidRDefault="009F37FD" w:rsidP="00CC09E7">
      <w:pPr>
        <w:pStyle w:val="BodyText"/>
        <w:numPr>
          <w:ilvl w:val="1"/>
          <w:numId w:val="17"/>
        </w:numPr>
        <w:spacing w:before="1"/>
        <w:ind w:right="1202" w:hanging="357"/>
        <w:jc w:val="both"/>
      </w:pPr>
      <w:r>
        <w:t xml:space="preserve">The % balance is over the schools approved surplus balance </w:t>
      </w:r>
      <w:proofErr w:type="gramStart"/>
      <w:r>
        <w:t>at</w:t>
      </w:r>
      <w:proofErr w:type="gramEnd"/>
      <w:r>
        <w:t xml:space="preserve"> 30 June and has been over for this threshold for </w:t>
      </w:r>
      <w:r w:rsidR="00310738">
        <w:t>3</w:t>
      </w:r>
      <w:r>
        <w:t xml:space="preserve"> consecutive years.</w:t>
      </w:r>
    </w:p>
    <w:p w14:paraId="5B491F1F" w14:textId="21C7B2D6" w:rsidR="009F37FD" w:rsidRDefault="009F37FD" w:rsidP="00CC09E7">
      <w:pPr>
        <w:pStyle w:val="BodyText"/>
        <w:numPr>
          <w:ilvl w:val="1"/>
          <w:numId w:val="17"/>
        </w:numPr>
        <w:spacing w:before="1"/>
        <w:ind w:right="1202" w:hanging="357"/>
        <w:jc w:val="both"/>
      </w:pPr>
      <w:r>
        <w:t>The balance has not been spent in line with</w:t>
      </w:r>
      <w:r w:rsidR="00A65AF1">
        <w:t xml:space="preserve"> the</w:t>
      </w:r>
      <w:r>
        <w:t xml:space="preserve"> 4 specific reasons.</w:t>
      </w:r>
    </w:p>
    <w:p w14:paraId="5244A012" w14:textId="0FD0FBC0" w:rsidR="009F37FD" w:rsidRDefault="009F37FD" w:rsidP="00CC09E7">
      <w:pPr>
        <w:pStyle w:val="BodyText"/>
        <w:numPr>
          <w:ilvl w:val="1"/>
          <w:numId w:val="17"/>
        </w:numPr>
        <w:spacing w:before="1"/>
        <w:ind w:right="1202" w:hanging="357"/>
        <w:jc w:val="both"/>
      </w:pPr>
      <w:r>
        <w:t>The school did not submit an approved surplus balance template by the 30 June.</w:t>
      </w:r>
    </w:p>
    <w:p w14:paraId="053D6810" w14:textId="3A8BBF34" w:rsidR="009F37FD" w:rsidRDefault="009F37FD" w:rsidP="00CC09E7">
      <w:pPr>
        <w:pStyle w:val="BodyText"/>
        <w:numPr>
          <w:ilvl w:val="1"/>
          <w:numId w:val="17"/>
        </w:numPr>
        <w:spacing w:before="1"/>
        <w:ind w:right="1202" w:hanging="357"/>
        <w:jc w:val="both"/>
      </w:pPr>
      <w:r>
        <w:t xml:space="preserve">Exceptional circumstances will be considered </w:t>
      </w:r>
      <w:proofErr w:type="gramStart"/>
      <w:r>
        <w:t>with regard to</w:t>
      </w:r>
      <w:proofErr w:type="gramEnd"/>
      <w:r>
        <w:t xml:space="preserve"> any clawback.</w:t>
      </w:r>
    </w:p>
    <w:p w14:paraId="1FCDD54D" w14:textId="7515379C" w:rsidR="009F37FD" w:rsidRDefault="0036598B" w:rsidP="00CC09E7">
      <w:pPr>
        <w:pStyle w:val="BodyText"/>
        <w:numPr>
          <w:ilvl w:val="1"/>
          <w:numId w:val="17"/>
        </w:numPr>
        <w:spacing w:before="1"/>
        <w:ind w:right="1202" w:hanging="357"/>
        <w:jc w:val="both"/>
      </w:pPr>
      <w:r>
        <w:t>T</w:t>
      </w:r>
      <w:r w:rsidR="00310738" w:rsidRPr="00035108">
        <w:rPr>
          <w:rFonts w:eastAsiaTheme="minorHAnsi"/>
          <w:lang w:eastAsia="en-US"/>
        </w:rPr>
        <w:t>he clawback agreement will be subject to annual review and approval by Schools Forum</w:t>
      </w:r>
    </w:p>
    <w:p w14:paraId="4850F2AE" w14:textId="77777777" w:rsidR="009F37FD" w:rsidRPr="00DC7A26" w:rsidRDefault="009F37FD" w:rsidP="00CC09E7">
      <w:pPr>
        <w:pStyle w:val="BodyText"/>
        <w:spacing w:before="1" w:line="264" w:lineRule="auto"/>
        <w:ind w:left="1997" w:right="1551"/>
      </w:pPr>
    </w:p>
    <w:p w14:paraId="52BFCD0C" w14:textId="77777777" w:rsidR="006D724E" w:rsidRPr="00DC7A26" w:rsidRDefault="006D724E" w:rsidP="006D724E">
      <w:pPr>
        <w:pStyle w:val="BodyText"/>
        <w:ind w:left="917" w:right="1025"/>
      </w:pPr>
    </w:p>
    <w:p w14:paraId="52BFCD0D" w14:textId="01B7D680" w:rsidR="006D724E" w:rsidRDefault="009F37FD" w:rsidP="00CC09E7">
      <w:pPr>
        <w:pStyle w:val="BodyText"/>
        <w:spacing w:before="4"/>
        <w:ind w:left="919" w:right="1202"/>
        <w:jc w:val="both"/>
      </w:pPr>
      <w:r w:rsidRPr="00DC7A26">
        <w:t>The Authority is entitled to request information on the proposed use of surplus</w:t>
      </w:r>
      <w:r>
        <w:t>.  The spend should be included in the School Development Plan and have been properly approved by Governors.</w:t>
      </w:r>
    </w:p>
    <w:p w14:paraId="52BFCD0E" w14:textId="77777777" w:rsidR="006D724E" w:rsidRDefault="006D724E" w:rsidP="006D724E">
      <w:pPr>
        <w:pStyle w:val="BodyText"/>
        <w:spacing w:before="4"/>
        <w:ind w:left="917"/>
      </w:pPr>
    </w:p>
    <w:p w14:paraId="52BFCD0F" w14:textId="77777777" w:rsidR="006D724E" w:rsidRDefault="009F37FD" w:rsidP="006D724E">
      <w:pPr>
        <w:pStyle w:val="Heading1"/>
        <w:numPr>
          <w:ilvl w:val="1"/>
          <w:numId w:val="5"/>
        </w:numPr>
        <w:tabs>
          <w:tab w:val="left" w:pos="1637"/>
          <w:tab w:val="left" w:pos="1639"/>
        </w:tabs>
      </w:pPr>
      <w:r>
        <w:t>Interest on Surplus</w:t>
      </w:r>
      <w:r>
        <w:rPr>
          <w:spacing w:val="2"/>
        </w:rPr>
        <w:t xml:space="preserve"> </w:t>
      </w:r>
      <w:r>
        <w:t>Balances</w:t>
      </w:r>
    </w:p>
    <w:p w14:paraId="52BFCD10" w14:textId="77777777" w:rsidR="006D724E" w:rsidRDefault="009F37FD" w:rsidP="00CC09E7">
      <w:pPr>
        <w:pStyle w:val="BodyText"/>
        <w:ind w:left="919" w:right="1026"/>
        <w:jc w:val="both"/>
      </w:pPr>
      <w:r>
        <w:t xml:space="preserve">Where schools do not operate their own bank account then any credit balances will attract interest. </w:t>
      </w:r>
      <w:r>
        <w:lastRenderedPageBreak/>
        <w:t>The basis of the calculation will be the simple average of the opening and closing balances of the school (whether surplus or deficit), multiplied by the interest rate determined by the Section 151 Officer</w:t>
      </w:r>
    </w:p>
    <w:p w14:paraId="52BFCD11" w14:textId="77777777" w:rsidR="006D724E" w:rsidRPr="00EE7C68" w:rsidRDefault="006D724E">
      <w:pPr>
        <w:pStyle w:val="BodyText"/>
        <w:spacing w:before="11"/>
      </w:pPr>
    </w:p>
    <w:p w14:paraId="52BFCD12" w14:textId="77777777" w:rsidR="006D724E" w:rsidRDefault="009F37FD" w:rsidP="006D724E">
      <w:pPr>
        <w:pStyle w:val="Heading1"/>
        <w:numPr>
          <w:ilvl w:val="1"/>
          <w:numId w:val="5"/>
        </w:numPr>
        <w:tabs>
          <w:tab w:val="left" w:pos="1637"/>
          <w:tab w:val="left" w:pos="1639"/>
        </w:tabs>
      </w:pPr>
      <w:r>
        <w:t>Obligation to Carry Forward Deficit</w:t>
      </w:r>
      <w:r>
        <w:rPr>
          <w:spacing w:val="-7"/>
        </w:rPr>
        <w:t xml:space="preserve"> </w:t>
      </w:r>
      <w:r>
        <w:t>Balances</w:t>
      </w:r>
    </w:p>
    <w:p w14:paraId="52BFCD13" w14:textId="77777777" w:rsidR="006D724E" w:rsidRDefault="009F37FD" w:rsidP="00CC09E7">
      <w:pPr>
        <w:pStyle w:val="BodyText"/>
        <w:spacing w:before="1"/>
        <w:ind w:left="919" w:right="1060"/>
        <w:jc w:val="both"/>
      </w:pPr>
      <w:r>
        <w:t>Any school deficit at the end of a financial year will be carried forward to the following financial year.</w:t>
      </w:r>
    </w:p>
    <w:p w14:paraId="52BFCD14" w14:textId="77777777" w:rsidR="006D724E" w:rsidRPr="00EE7C68" w:rsidRDefault="006D724E">
      <w:pPr>
        <w:pStyle w:val="BodyText"/>
        <w:spacing w:before="4"/>
      </w:pPr>
    </w:p>
    <w:p w14:paraId="52BFCD15" w14:textId="49E9F282" w:rsidR="006D724E" w:rsidRDefault="00B158BB" w:rsidP="006D724E">
      <w:pPr>
        <w:pStyle w:val="Heading1"/>
        <w:numPr>
          <w:ilvl w:val="1"/>
          <w:numId w:val="5"/>
        </w:numPr>
        <w:tabs>
          <w:tab w:val="left" w:pos="1637"/>
          <w:tab w:val="left" w:pos="1639"/>
        </w:tabs>
      </w:pPr>
      <w:r>
        <w:t>Planning f</w:t>
      </w:r>
      <w:r w:rsidR="009F37FD">
        <w:t>or Deficit Budgets</w:t>
      </w:r>
    </w:p>
    <w:p w14:paraId="52BFCD16" w14:textId="77777777" w:rsidR="006D724E" w:rsidRDefault="009F37FD" w:rsidP="00CC09E7">
      <w:pPr>
        <w:pStyle w:val="BodyText"/>
        <w:ind w:left="919" w:right="1111"/>
        <w:jc w:val="both"/>
      </w:pPr>
      <w:r>
        <w:t xml:space="preserve">Schools should act responsibly to avoid </w:t>
      </w:r>
      <w:proofErr w:type="gramStart"/>
      <w:r>
        <w:t>deficits, and</w:t>
      </w:r>
      <w:proofErr w:type="gramEnd"/>
      <w:r>
        <w:t xml:space="preserve"> may not plan for a deficit without the express approval of the S151 Officer in consultation with the Director of Children’s Services, </w:t>
      </w:r>
      <w:r w:rsidRPr="00BF115E">
        <w:t>in accordance with section 4.9 below.</w:t>
      </w:r>
    </w:p>
    <w:p w14:paraId="52BFCD17" w14:textId="77777777" w:rsidR="006D724E" w:rsidRDefault="006D724E">
      <w:pPr>
        <w:pStyle w:val="BodyText"/>
        <w:spacing w:line="264" w:lineRule="auto"/>
        <w:ind w:left="917" w:right="1111"/>
      </w:pPr>
    </w:p>
    <w:p w14:paraId="52BFCD18" w14:textId="6F2B5D04" w:rsidR="006D724E" w:rsidRDefault="009F37FD" w:rsidP="00CC09E7">
      <w:pPr>
        <w:pStyle w:val="BodyText"/>
        <w:ind w:left="919" w:right="1111"/>
        <w:jc w:val="both"/>
      </w:pPr>
      <w:r w:rsidRPr="00BF115E">
        <w:t xml:space="preserve">All schools with a deficit balance </w:t>
      </w:r>
      <w:proofErr w:type="gramStart"/>
      <w:r w:rsidRPr="00BF115E">
        <w:t>at</w:t>
      </w:r>
      <w:proofErr w:type="gramEnd"/>
      <w:r w:rsidRPr="00BF115E">
        <w:t xml:space="preserve"> 31 March will be required</w:t>
      </w:r>
      <w:r w:rsidR="00A65AF1">
        <w:t xml:space="preserve"> to</w:t>
      </w:r>
      <w:r w:rsidRPr="00BF115E">
        <w:t xml:space="preserve"> work with the Authority to produce a deficit recovery plan which must be approved by the </w:t>
      </w:r>
      <w:r w:rsidR="00A65AF1">
        <w:t>g</w:t>
      </w:r>
      <w:r w:rsidRPr="00BF115E">
        <w:t xml:space="preserve">overning </w:t>
      </w:r>
      <w:r w:rsidR="00A65AF1">
        <w:t>b</w:t>
      </w:r>
      <w:r w:rsidRPr="00BF115E">
        <w:t xml:space="preserve">ody and the S151 Officer.  Schools with an authorised deficit prior to 31 March shall continue to reduce the deficit in accordance with their deficit recovery plan.  The Authority will work the school to monitor the authorised plan.  </w:t>
      </w:r>
    </w:p>
    <w:p w14:paraId="52BFCD19" w14:textId="77777777" w:rsidR="006D724E" w:rsidRDefault="006D724E" w:rsidP="00CC09E7">
      <w:pPr>
        <w:pStyle w:val="BodyText"/>
        <w:ind w:left="919" w:right="1111"/>
        <w:jc w:val="both"/>
      </w:pPr>
    </w:p>
    <w:p w14:paraId="52BFCD1A" w14:textId="77777777" w:rsidR="006D724E" w:rsidRPr="0017132A" w:rsidRDefault="009F37FD" w:rsidP="00CC09E7">
      <w:pPr>
        <w:pStyle w:val="BodyText"/>
        <w:ind w:left="919" w:right="1111"/>
        <w:jc w:val="both"/>
      </w:pPr>
      <w:r w:rsidRPr="00BF115E">
        <w:t>Where the approved plan is not being adhered to, the Authority has the power to take action to bring the situation back in line with the approved plan, including the withdrawal of delegation.</w:t>
      </w:r>
    </w:p>
    <w:p w14:paraId="52BFCD1B" w14:textId="77777777" w:rsidR="006D724E" w:rsidRDefault="006D724E">
      <w:pPr>
        <w:pStyle w:val="BodyText"/>
        <w:spacing w:line="264" w:lineRule="auto"/>
        <w:ind w:left="917" w:right="1111"/>
      </w:pPr>
    </w:p>
    <w:p w14:paraId="52BFCD1C" w14:textId="77777777" w:rsidR="006D724E" w:rsidRDefault="009F37FD" w:rsidP="006D724E">
      <w:pPr>
        <w:pStyle w:val="Heading1"/>
        <w:numPr>
          <w:ilvl w:val="1"/>
          <w:numId w:val="5"/>
        </w:numPr>
        <w:tabs>
          <w:tab w:val="left" w:pos="1637"/>
          <w:tab w:val="left" w:pos="1639"/>
        </w:tabs>
      </w:pPr>
      <w:r>
        <w:t>Charging of Interest on Deficit</w:t>
      </w:r>
      <w:r>
        <w:rPr>
          <w:spacing w:val="-2"/>
        </w:rPr>
        <w:t xml:space="preserve"> </w:t>
      </w:r>
      <w:r>
        <w:t>Balances</w:t>
      </w:r>
    </w:p>
    <w:p w14:paraId="52BFCD1D" w14:textId="77777777" w:rsidR="006D724E" w:rsidRDefault="009F37FD" w:rsidP="00CC09E7">
      <w:pPr>
        <w:pStyle w:val="BodyText"/>
        <w:ind w:left="919" w:right="1111"/>
        <w:jc w:val="both"/>
      </w:pPr>
      <w:r w:rsidRPr="00B87A1A">
        <w:t xml:space="preserve">The Authority does not propose to introduce a provision for charging interest to deficit schools.  However, the Authority reserves the right to charge interest, at current Bank of England base rate, on deficit balances for those schools that fail to reduce their deficit position in line with the agreed deficit recovery plan.  </w:t>
      </w:r>
    </w:p>
    <w:p w14:paraId="52BFCD1E" w14:textId="77777777" w:rsidR="006D724E" w:rsidRPr="00B87A1A" w:rsidRDefault="006D724E" w:rsidP="006D724E">
      <w:pPr>
        <w:pStyle w:val="BodyText"/>
        <w:spacing w:line="264" w:lineRule="auto"/>
        <w:ind w:left="917" w:right="1111"/>
      </w:pPr>
    </w:p>
    <w:p w14:paraId="52BFCD1F" w14:textId="77777777" w:rsidR="006D724E" w:rsidRPr="00E27458" w:rsidRDefault="009F37FD" w:rsidP="006D724E">
      <w:pPr>
        <w:pStyle w:val="Heading1"/>
        <w:numPr>
          <w:ilvl w:val="1"/>
          <w:numId w:val="5"/>
        </w:numPr>
        <w:tabs>
          <w:tab w:val="left" w:pos="1637"/>
          <w:tab w:val="left" w:pos="1639"/>
        </w:tabs>
        <w:spacing w:before="1"/>
      </w:pPr>
      <w:r w:rsidRPr="00E27458">
        <w:t>Writing Off</w:t>
      </w:r>
      <w:r w:rsidRPr="00E27458">
        <w:rPr>
          <w:spacing w:val="-11"/>
        </w:rPr>
        <w:t xml:space="preserve"> </w:t>
      </w:r>
      <w:r w:rsidRPr="00E27458">
        <w:t>Deficits</w:t>
      </w:r>
    </w:p>
    <w:p w14:paraId="52BFCD20" w14:textId="77777777" w:rsidR="006D724E" w:rsidRPr="00E27458" w:rsidRDefault="009F37FD" w:rsidP="00CC09E7">
      <w:pPr>
        <w:pStyle w:val="BodyText"/>
        <w:ind w:left="919" w:right="1111"/>
        <w:jc w:val="both"/>
      </w:pPr>
      <w:r w:rsidRPr="00E27458">
        <w:t>The Authority cannot write off the deficit balance of any school.</w:t>
      </w:r>
    </w:p>
    <w:p w14:paraId="52BFCD21" w14:textId="77777777" w:rsidR="006D724E" w:rsidRPr="00E27458" w:rsidRDefault="006D724E" w:rsidP="00CC09E7">
      <w:pPr>
        <w:pStyle w:val="BodyText"/>
        <w:ind w:left="919" w:right="1111"/>
        <w:jc w:val="both"/>
      </w:pPr>
    </w:p>
    <w:p w14:paraId="52BFCD22" w14:textId="65F7C970" w:rsidR="006D724E" w:rsidRPr="00E27458" w:rsidRDefault="009F37FD" w:rsidP="00CC09E7">
      <w:pPr>
        <w:pStyle w:val="BodyText"/>
        <w:ind w:left="919" w:right="1111"/>
        <w:jc w:val="both"/>
      </w:pPr>
      <w:r w:rsidRPr="00E27458">
        <w:t>If the LA wishes to give assistance towards elimination of a deficit balance this should be through the allocation of a cash sum, from the LA’s Schools Budget (from a centrally held budget specified for the purpose of expenditure on special schools and pupil referral units in financial difficulty or, in respect of mainstream schools from a de-delegated contingency budget where this has been agreed by Schools</w:t>
      </w:r>
      <w:r w:rsidR="00A65AF1">
        <w:t>’</w:t>
      </w:r>
      <w:r w:rsidRPr="00E27458">
        <w:t xml:space="preserve"> Forum)</w:t>
      </w:r>
      <w:r w:rsidR="00CC09E7">
        <w:t>.</w:t>
      </w:r>
    </w:p>
    <w:p w14:paraId="52BFCD23" w14:textId="77777777" w:rsidR="006D724E" w:rsidRPr="00E27458" w:rsidRDefault="006D724E" w:rsidP="006D724E">
      <w:pPr>
        <w:pStyle w:val="BodyText"/>
        <w:spacing w:line="264" w:lineRule="auto"/>
        <w:ind w:left="917" w:right="1111"/>
      </w:pPr>
    </w:p>
    <w:p w14:paraId="52BFCD24" w14:textId="77777777" w:rsidR="006D724E" w:rsidRPr="00E27458" w:rsidRDefault="009F37FD" w:rsidP="006D724E">
      <w:pPr>
        <w:pStyle w:val="Heading1"/>
        <w:numPr>
          <w:ilvl w:val="1"/>
          <w:numId w:val="5"/>
        </w:numPr>
        <w:tabs>
          <w:tab w:val="left" w:pos="1637"/>
          <w:tab w:val="left" w:pos="1639"/>
        </w:tabs>
      </w:pPr>
      <w:r w:rsidRPr="00E27458">
        <w:t>Balances of Closing and Replacement Schools</w:t>
      </w:r>
    </w:p>
    <w:p w14:paraId="52BFCD25" w14:textId="77777777" w:rsidR="006D724E" w:rsidRPr="00511419" w:rsidRDefault="009F37FD" w:rsidP="00CC09E7">
      <w:pPr>
        <w:pStyle w:val="BodyText"/>
        <w:ind w:left="919" w:right="1111"/>
        <w:jc w:val="both"/>
      </w:pPr>
      <w:r w:rsidRPr="00E27458">
        <w:rPr>
          <w:lang w:val="en"/>
        </w:rPr>
        <w:t>Where in the funding period, a school has been established or is subject to a prescribed alteration as a result of the closure of a school, a local authority may add an amount to the budget share of the new or enlarged school to reflect all or part of the unspent budget share, including any surplus carried over from previous funding periods, of the closing school for the funding period in which it closes.</w:t>
      </w:r>
    </w:p>
    <w:p w14:paraId="52BFCD26" w14:textId="77777777" w:rsidR="006D724E" w:rsidRPr="00CC09E7" w:rsidRDefault="006D724E">
      <w:pPr>
        <w:pStyle w:val="BodyText"/>
        <w:spacing w:before="4"/>
      </w:pPr>
    </w:p>
    <w:p w14:paraId="52BFCD27" w14:textId="49533427" w:rsidR="006D724E" w:rsidRPr="00865A06" w:rsidRDefault="009F37FD" w:rsidP="006D724E">
      <w:pPr>
        <w:pStyle w:val="Heading1"/>
        <w:numPr>
          <w:ilvl w:val="1"/>
          <w:numId w:val="5"/>
        </w:numPr>
        <w:tabs>
          <w:tab w:val="left" w:pos="1639"/>
        </w:tabs>
        <w:spacing w:before="1"/>
        <w:jc w:val="both"/>
      </w:pPr>
      <w:r>
        <w:t>Licensed</w:t>
      </w:r>
      <w:r w:rsidR="00633555">
        <w:t xml:space="preserve"> </w:t>
      </w:r>
      <w:r>
        <w:t>Deficits</w:t>
      </w:r>
    </w:p>
    <w:p w14:paraId="52BFCD28" w14:textId="77777777" w:rsidR="006D724E" w:rsidRPr="009517F7" w:rsidRDefault="009F37FD" w:rsidP="00CC09E7">
      <w:pPr>
        <w:pStyle w:val="BodyText"/>
        <w:ind w:left="919" w:right="1111"/>
        <w:jc w:val="both"/>
        <w:rPr>
          <w:lang w:val="en"/>
        </w:rPr>
      </w:pPr>
      <w:r w:rsidRPr="009517F7">
        <w:rPr>
          <w:lang w:val="en"/>
        </w:rPr>
        <w:t>Due to unforeseen expenditure or pupil volatility, schools may find themselves in a deficit budget position from which it would be extremely difficult to bring the budget back in balance the following year.  In these circumstances schools may apply under the scheme for a licensed deficit.  The licensed deficit shall operate within the following parameters:</w:t>
      </w:r>
    </w:p>
    <w:p w14:paraId="52BFCD2A" w14:textId="77777777" w:rsidR="006D724E" w:rsidRPr="009517F7" w:rsidRDefault="009F37FD" w:rsidP="00CC09E7">
      <w:pPr>
        <w:pStyle w:val="BodyText"/>
        <w:numPr>
          <w:ilvl w:val="0"/>
          <w:numId w:val="21"/>
        </w:numPr>
        <w:ind w:right="1111"/>
        <w:jc w:val="both"/>
        <w:rPr>
          <w:lang w:val="en"/>
        </w:rPr>
      </w:pPr>
      <w:r w:rsidRPr="009517F7">
        <w:rPr>
          <w:lang w:val="en"/>
        </w:rPr>
        <w:t>Deficit budgets will be approved in exceptional circumstances where a school has been subject to a temporary reduction in pupil numbers or has had to meet a significant item of unforeseen revenue expenditure.  Where this happens and a school cannot bring the budget back out of deficit within the following year without staffing reductions that will damage its ability to deliver the national curriculum, then a deficit budget may be granted.  Deficit budgets will not be approved except as a mechanism for managing staff reductions for schools that are suffering a long-term reduction in pupil numbers.</w:t>
      </w:r>
    </w:p>
    <w:p w14:paraId="52BFCD2B" w14:textId="77777777" w:rsidR="006D724E" w:rsidRPr="009517F7" w:rsidRDefault="006D724E" w:rsidP="00CC09E7">
      <w:pPr>
        <w:pStyle w:val="BodyText"/>
        <w:ind w:left="917" w:right="1111"/>
        <w:jc w:val="both"/>
        <w:rPr>
          <w:lang w:val="en"/>
        </w:rPr>
      </w:pPr>
    </w:p>
    <w:p w14:paraId="52BFCD2C" w14:textId="77777777" w:rsidR="006D724E" w:rsidRPr="009517F7" w:rsidRDefault="009F37FD" w:rsidP="00CC09E7">
      <w:pPr>
        <w:pStyle w:val="BodyText"/>
        <w:numPr>
          <w:ilvl w:val="0"/>
          <w:numId w:val="21"/>
        </w:numPr>
        <w:ind w:right="1111"/>
        <w:jc w:val="both"/>
        <w:rPr>
          <w:lang w:val="en"/>
        </w:rPr>
      </w:pPr>
      <w:r w:rsidRPr="009517F7">
        <w:rPr>
          <w:lang w:val="en"/>
        </w:rPr>
        <w:t>Deficit budgets shall be approved for a maximum of 3 years (this is not expected to be the norm).  At the end of the agreed deficit period the school’s accumulated balances shall be zero or greater.  An approved deficit budget shall be accompanied by an approved deficit recovery plan as detailed in section 4.5 above.</w:t>
      </w:r>
    </w:p>
    <w:p w14:paraId="52BFCD2D" w14:textId="77777777" w:rsidR="006D724E" w:rsidRPr="009517F7" w:rsidRDefault="006D724E" w:rsidP="00CC09E7">
      <w:pPr>
        <w:pStyle w:val="BodyText"/>
        <w:ind w:left="917" w:right="1111"/>
        <w:jc w:val="both"/>
        <w:rPr>
          <w:lang w:val="en"/>
        </w:rPr>
      </w:pPr>
    </w:p>
    <w:p w14:paraId="52BFCD2E" w14:textId="77777777" w:rsidR="006D724E" w:rsidRPr="009517F7" w:rsidRDefault="009F37FD" w:rsidP="00CC09E7">
      <w:pPr>
        <w:pStyle w:val="BodyText"/>
        <w:numPr>
          <w:ilvl w:val="0"/>
          <w:numId w:val="21"/>
        </w:numPr>
        <w:ind w:right="1111"/>
        <w:jc w:val="both"/>
        <w:rPr>
          <w:lang w:val="en"/>
        </w:rPr>
      </w:pPr>
      <w:r w:rsidRPr="009517F7">
        <w:rPr>
          <w:lang w:val="en"/>
        </w:rPr>
        <w:t>The maximum size of any deficit shall be 5% of the school’s annual budget share.  There is no minimum level of deficit.</w:t>
      </w:r>
    </w:p>
    <w:p w14:paraId="52BFCD2F" w14:textId="77777777" w:rsidR="006D724E" w:rsidRPr="009517F7" w:rsidRDefault="006D724E" w:rsidP="00CC09E7">
      <w:pPr>
        <w:pStyle w:val="BodyText"/>
        <w:ind w:left="917" w:right="1111"/>
        <w:jc w:val="both"/>
        <w:rPr>
          <w:lang w:val="en"/>
        </w:rPr>
      </w:pPr>
    </w:p>
    <w:p w14:paraId="52BFCD30" w14:textId="77777777" w:rsidR="006D724E" w:rsidRPr="009517F7" w:rsidRDefault="009F37FD" w:rsidP="00CC09E7">
      <w:pPr>
        <w:pStyle w:val="BodyText"/>
        <w:numPr>
          <w:ilvl w:val="0"/>
          <w:numId w:val="21"/>
        </w:numPr>
        <w:ind w:right="1111"/>
        <w:jc w:val="both"/>
        <w:rPr>
          <w:lang w:val="en"/>
        </w:rPr>
      </w:pPr>
      <w:r w:rsidRPr="009517F7">
        <w:rPr>
          <w:lang w:val="en"/>
        </w:rPr>
        <w:t xml:space="preserve">As schools in the scheme will be operating their own bank accounts, it is proposed that the collective gross balance held by schools, whether in their own accounts or held by the Authority in its role as Payroll Administrator, shall be utilised in calculating the upper level of deficit budgets that may be approved.  The total of all licensed deficits shall not exceed more than 20% of the gross surpluses held by schools.  The gross surpluses shall be calculated </w:t>
      </w:r>
      <w:proofErr w:type="gramStart"/>
      <w:r w:rsidRPr="009517F7">
        <w:rPr>
          <w:lang w:val="en"/>
        </w:rPr>
        <w:t>by</w:t>
      </w:r>
      <w:proofErr w:type="gramEnd"/>
      <w:r w:rsidRPr="009517F7">
        <w:rPr>
          <w:lang w:val="en"/>
        </w:rPr>
        <w:t xml:space="preserve"> reference to the latest available Section 251 outturn </w:t>
      </w:r>
      <w:proofErr w:type="gramStart"/>
      <w:r w:rsidRPr="009517F7">
        <w:rPr>
          <w:lang w:val="en"/>
        </w:rPr>
        <w:t>report</w:t>
      </w:r>
      <w:proofErr w:type="gramEnd"/>
      <w:r w:rsidRPr="009517F7">
        <w:rPr>
          <w:lang w:val="en"/>
        </w:rPr>
        <w:t xml:space="preserve"> i.e. the total deficits for </w:t>
      </w:r>
      <w:proofErr w:type="gramStart"/>
      <w:r w:rsidRPr="009517F7">
        <w:rPr>
          <w:lang w:val="en"/>
        </w:rPr>
        <w:t>an</w:t>
      </w:r>
      <w:proofErr w:type="gramEnd"/>
      <w:r w:rsidRPr="009517F7">
        <w:rPr>
          <w:lang w:val="en"/>
        </w:rPr>
        <w:t xml:space="preserve"> financial year shall not exceed more than 20% of the surpluses in that financial year.</w:t>
      </w:r>
    </w:p>
    <w:p w14:paraId="52BFCD31" w14:textId="77777777" w:rsidR="006D724E" w:rsidRDefault="006D724E" w:rsidP="006D724E">
      <w:pPr>
        <w:pStyle w:val="BodyText"/>
        <w:ind w:left="917"/>
        <w:jc w:val="both"/>
      </w:pPr>
    </w:p>
    <w:p w14:paraId="52BFCD32" w14:textId="34A3D937" w:rsidR="006D724E" w:rsidRDefault="009F37FD" w:rsidP="00CC09E7">
      <w:pPr>
        <w:pStyle w:val="BodyText"/>
        <w:ind w:left="919" w:right="1208"/>
        <w:jc w:val="both"/>
      </w:pPr>
      <w:r w:rsidRPr="009517F7">
        <w:t>All licensed deficits must be approved by the S151 Officer and Assistant Executive Director</w:t>
      </w:r>
      <w:r w:rsidR="00042982">
        <w:t>,</w:t>
      </w:r>
      <w:r w:rsidRPr="009517F7">
        <w:t xml:space="preserve"> Education.  In exceptional circumstances where the S151 Officer and the Assistant Director of Education jointly may</w:t>
      </w:r>
      <w:r>
        <w:t>;</w:t>
      </w:r>
    </w:p>
    <w:p w14:paraId="52BFCD33" w14:textId="77777777" w:rsidR="006D724E" w:rsidRPr="009517F7" w:rsidRDefault="006D724E" w:rsidP="006D724E">
      <w:pPr>
        <w:pStyle w:val="BodyText"/>
        <w:ind w:left="917" w:right="1208"/>
      </w:pPr>
    </w:p>
    <w:p w14:paraId="52BFCD34" w14:textId="77777777" w:rsidR="006D724E" w:rsidRPr="00A22751" w:rsidRDefault="009F37FD" w:rsidP="00CC09E7">
      <w:pPr>
        <w:pStyle w:val="BodyText"/>
        <w:numPr>
          <w:ilvl w:val="0"/>
          <w:numId w:val="18"/>
        </w:numPr>
        <w:ind w:hanging="357"/>
        <w:jc w:val="both"/>
      </w:pPr>
      <w:r w:rsidRPr="00A22751">
        <w:t>vary the repayment period to up to 5</w:t>
      </w:r>
      <w:r w:rsidRPr="00A22751">
        <w:rPr>
          <w:spacing w:val="-9"/>
        </w:rPr>
        <w:t xml:space="preserve"> </w:t>
      </w:r>
      <w:r w:rsidRPr="00A22751">
        <w:t>years</w:t>
      </w:r>
    </w:p>
    <w:p w14:paraId="52BFCD35" w14:textId="4667A278" w:rsidR="006D724E" w:rsidRPr="00A22751" w:rsidRDefault="009F37FD" w:rsidP="00CC09E7">
      <w:pPr>
        <w:pStyle w:val="ListParagraph"/>
        <w:numPr>
          <w:ilvl w:val="2"/>
          <w:numId w:val="5"/>
        </w:numPr>
        <w:tabs>
          <w:tab w:val="left" w:pos="1637"/>
          <w:tab w:val="left" w:pos="1639"/>
        </w:tabs>
        <w:ind w:hanging="357"/>
        <w:jc w:val="both"/>
      </w:pPr>
      <w:r w:rsidRPr="00A22751">
        <w:t>vary the upper percentage level of cumulative deficit at the end of a financial</w:t>
      </w:r>
      <w:r w:rsidRPr="00A22751">
        <w:rPr>
          <w:spacing w:val="-11"/>
        </w:rPr>
        <w:t xml:space="preserve"> </w:t>
      </w:r>
      <w:r w:rsidR="00042982">
        <w:t>year</w:t>
      </w:r>
    </w:p>
    <w:p w14:paraId="52BFCD36" w14:textId="77777777" w:rsidR="006D724E" w:rsidRPr="00A22751" w:rsidRDefault="009F37FD" w:rsidP="00CC09E7">
      <w:pPr>
        <w:pStyle w:val="ListParagraph"/>
        <w:numPr>
          <w:ilvl w:val="2"/>
          <w:numId w:val="5"/>
        </w:numPr>
        <w:tabs>
          <w:tab w:val="left" w:pos="1637"/>
          <w:tab w:val="left" w:pos="1639"/>
        </w:tabs>
        <w:ind w:hanging="357"/>
        <w:jc w:val="both"/>
      </w:pPr>
      <w:r w:rsidRPr="00A22751">
        <w:t>apply other criteria for schools subject to special</w:t>
      </w:r>
      <w:r w:rsidRPr="00A22751">
        <w:rPr>
          <w:spacing w:val="-10"/>
        </w:rPr>
        <w:t xml:space="preserve"> </w:t>
      </w:r>
      <w:r w:rsidRPr="00A22751">
        <w:t>measures.</w:t>
      </w:r>
    </w:p>
    <w:p w14:paraId="52BFCD37" w14:textId="77777777" w:rsidR="006D724E" w:rsidRPr="00A22751" w:rsidRDefault="006D724E">
      <w:pPr>
        <w:pStyle w:val="BodyText"/>
      </w:pPr>
    </w:p>
    <w:p w14:paraId="52BFCD38" w14:textId="77777777" w:rsidR="006D724E" w:rsidRPr="00A22751" w:rsidRDefault="009F37FD" w:rsidP="00CC09E7">
      <w:pPr>
        <w:pStyle w:val="BodyText"/>
        <w:spacing w:before="73"/>
        <w:ind w:left="917"/>
        <w:rPr>
          <w:u w:val="single"/>
        </w:rPr>
      </w:pPr>
      <w:bookmarkStart w:id="5" w:name="School_Requirements"/>
      <w:bookmarkEnd w:id="5"/>
      <w:r w:rsidRPr="00A22751">
        <w:rPr>
          <w:u w:val="single"/>
        </w:rPr>
        <w:t>School</w:t>
      </w:r>
      <w:r w:rsidRPr="00A22751">
        <w:rPr>
          <w:spacing w:val="-5"/>
          <w:u w:val="single"/>
        </w:rPr>
        <w:t xml:space="preserve"> </w:t>
      </w:r>
      <w:r w:rsidRPr="00A22751">
        <w:rPr>
          <w:u w:val="single"/>
        </w:rPr>
        <w:t>Requirements</w:t>
      </w:r>
    </w:p>
    <w:p w14:paraId="52BFCD39" w14:textId="77777777" w:rsidR="006D724E" w:rsidRPr="00A22751" w:rsidRDefault="009F37FD" w:rsidP="00042982">
      <w:pPr>
        <w:pStyle w:val="BodyText"/>
        <w:ind w:left="917" w:right="1060"/>
        <w:jc w:val="both"/>
      </w:pPr>
      <w:r w:rsidRPr="00A22751">
        <w:t>Where a school has an actual or projected deficit the schools should complete the deficit application</w:t>
      </w:r>
      <w:r w:rsidRPr="00A22751">
        <w:rPr>
          <w:spacing w:val="-1"/>
        </w:rPr>
        <w:t xml:space="preserve"> </w:t>
      </w:r>
      <w:r w:rsidRPr="00A22751">
        <w:t>pro-forma.</w:t>
      </w:r>
    </w:p>
    <w:p w14:paraId="52BFCD3A" w14:textId="77777777" w:rsidR="006D724E" w:rsidRPr="00A22751" w:rsidRDefault="006D724E" w:rsidP="00CC09E7">
      <w:pPr>
        <w:pStyle w:val="BodyText"/>
        <w:jc w:val="both"/>
      </w:pPr>
    </w:p>
    <w:p w14:paraId="52BFCD3B" w14:textId="77777777" w:rsidR="006D724E" w:rsidRPr="00A22751" w:rsidRDefault="009F37FD" w:rsidP="00CC09E7">
      <w:pPr>
        <w:pStyle w:val="BodyText"/>
        <w:ind w:left="917"/>
        <w:jc w:val="both"/>
      </w:pPr>
      <w:r w:rsidRPr="00A22751">
        <w:t xml:space="preserve">The following conditions may apply, and that the school spending plan will only be approved </w:t>
      </w:r>
      <w:proofErr w:type="gramStart"/>
      <w:r w:rsidRPr="00A22751">
        <w:t>if:-</w:t>
      </w:r>
      <w:proofErr w:type="gramEnd"/>
    </w:p>
    <w:p w14:paraId="52BFCD3C" w14:textId="77777777" w:rsidR="006D724E" w:rsidRPr="00A22751" w:rsidRDefault="006D724E" w:rsidP="00CC09E7">
      <w:pPr>
        <w:pStyle w:val="BodyText"/>
        <w:jc w:val="both"/>
      </w:pPr>
    </w:p>
    <w:p w14:paraId="52BFCD3D" w14:textId="77777777" w:rsidR="006D724E" w:rsidRPr="00A22751" w:rsidRDefault="009F37FD" w:rsidP="00CC09E7">
      <w:pPr>
        <w:pStyle w:val="ListParagraph"/>
        <w:numPr>
          <w:ilvl w:val="2"/>
          <w:numId w:val="5"/>
        </w:numPr>
        <w:tabs>
          <w:tab w:val="left" w:pos="1637"/>
          <w:tab w:val="left" w:pos="1639"/>
        </w:tabs>
        <w:ind w:hanging="360"/>
        <w:jc w:val="both"/>
      </w:pPr>
      <w:r w:rsidRPr="00A22751">
        <w:t xml:space="preserve">there </w:t>
      </w:r>
      <w:proofErr w:type="gramStart"/>
      <w:r w:rsidRPr="00A22751">
        <w:t>is</w:t>
      </w:r>
      <w:proofErr w:type="gramEnd"/>
      <w:r w:rsidRPr="00A22751">
        <w:t xml:space="preserve"> prior consultation and approval by the LA to the filling of any vacant</w:t>
      </w:r>
      <w:r w:rsidRPr="00A22751">
        <w:rPr>
          <w:spacing w:val="-15"/>
        </w:rPr>
        <w:t xml:space="preserve"> </w:t>
      </w:r>
      <w:r w:rsidRPr="00A22751">
        <w:t>posts.</w:t>
      </w:r>
    </w:p>
    <w:p w14:paraId="52BFCD3E" w14:textId="77777777" w:rsidR="006D724E" w:rsidRPr="00A22751" w:rsidRDefault="009F37FD" w:rsidP="00CC09E7">
      <w:pPr>
        <w:pStyle w:val="ListParagraph"/>
        <w:numPr>
          <w:ilvl w:val="2"/>
          <w:numId w:val="5"/>
        </w:numPr>
        <w:tabs>
          <w:tab w:val="left" w:pos="1637"/>
          <w:tab w:val="left" w:pos="1639"/>
        </w:tabs>
        <w:spacing w:before="1"/>
        <w:ind w:right="1045" w:hanging="360"/>
        <w:jc w:val="both"/>
      </w:pPr>
      <w:r w:rsidRPr="00A22751">
        <w:t>the school purchase financial support services from the Authority (to include as a</w:t>
      </w:r>
      <w:r w:rsidRPr="00A22751">
        <w:rPr>
          <w:spacing w:val="-30"/>
        </w:rPr>
        <w:t xml:space="preserve"> </w:t>
      </w:r>
      <w:r w:rsidRPr="00A22751">
        <w:t>minimum, budget preparation and future years budget</w:t>
      </w:r>
      <w:r w:rsidRPr="00A22751">
        <w:rPr>
          <w:spacing w:val="-3"/>
        </w:rPr>
        <w:t xml:space="preserve"> </w:t>
      </w:r>
      <w:r w:rsidRPr="00A22751">
        <w:t>forecasts)</w:t>
      </w:r>
    </w:p>
    <w:p w14:paraId="52BFCD3F" w14:textId="5E960CA9" w:rsidR="006D724E" w:rsidRPr="00A22751" w:rsidRDefault="009F37FD" w:rsidP="00CC09E7">
      <w:pPr>
        <w:pStyle w:val="ListParagraph"/>
        <w:numPr>
          <w:ilvl w:val="2"/>
          <w:numId w:val="5"/>
        </w:numPr>
        <w:tabs>
          <w:tab w:val="left" w:pos="1637"/>
          <w:tab w:val="left" w:pos="1639"/>
        </w:tabs>
        <w:ind w:right="1039" w:hanging="360"/>
        <w:jc w:val="both"/>
      </w:pPr>
      <w:r w:rsidRPr="00A22751">
        <w:t>the</w:t>
      </w:r>
      <w:r w:rsidR="008F3F0F">
        <w:t xml:space="preserve"> school review the budget plan </w:t>
      </w:r>
      <w:r w:rsidRPr="00A22751">
        <w:t>and that the Authority be informed immediately if any assumptions included in the approval plan are not achieved or improved upon (such as pupil number</w:t>
      </w:r>
      <w:r w:rsidRPr="00A22751">
        <w:rPr>
          <w:spacing w:val="-2"/>
        </w:rPr>
        <w:t xml:space="preserve"> </w:t>
      </w:r>
      <w:r w:rsidRPr="00A22751">
        <w:t>assumptions)</w:t>
      </w:r>
    </w:p>
    <w:p w14:paraId="52BFCD40" w14:textId="3D70A0E9" w:rsidR="006D724E" w:rsidRPr="00A22751" w:rsidRDefault="009F37FD" w:rsidP="00610345">
      <w:pPr>
        <w:pStyle w:val="ListParagraph"/>
        <w:numPr>
          <w:ilvl w:val="2"/>
          <w:numId w:val="5"/>
        </w:numPr>
        <w:tabs>
          <w:tab w:val="left" w:pos="1637"/>
          <w:tab w:val="left" w:pos="1639"/>
        </w:tabs>
        <w:ind w:right="1060" w:hanging="360"/>
        <w:jc w:val="both"/>
      </w:pPr>
      <w:r w:rsidRPr="00A22751">
        <w:t>monthly budget monitoring reports be submitted to the governing body, this return and updates from governors to be submitted to the Authority in accordance with deadlines outline</w:t>
      </w:r>
      <w:r w:rsidR="008F3F0F">
        <w:t>d</w:t>
      </w:r>
    </w:p>
    <w:p w14:paraId="52BFCD41" w14:textId="2AE99364" w:rsidR="006D724E" w:rsidRPr="00A22751" w:rsidRDefault="009F37FD" w:rsidP="00610345">
      <w:pPr>
        <w:pStyle w:val="ListParagraph"/>
        <w:numPr>
          <w:ilvl w:val="2"/>
          <w:numId w:val="5"/>
        </w:numPr>
        <w:tabs>
          <w:tab w:val="left" w:pos="1637"/>
          <w:tab w:val="left" w:pos="1639"/>
        </w:tabs>
        <w:ind w:right="1060" w:hanging="360"/>
        <w:jc w:val="both"/>
      </w:pPr>
      <w:r w:rsidRPr="00A22751">
        <w:t>unless otherwise agreed by the Authority, any additional resources that become</w:t>
      </w:r>
      <w:r w:rsidRPr="00A22751">
        <w:rPr>
          <w:spacing w:val="-29"/>
        </w:rPr>
        <w:t xml:space="preserve"> </w:t>
      </w:r>
      <w:r w:rsidRPr="00A22751">
        <w:t xml:space="preserve">available from changes in the school budget share from the time of approval </w:t>
      </w:r>
      <w:r w:rsidR="00BA5065">
        <w:t xml:space="preserve">to </w:t>
      </w:r>
      <w:r w:rsidRPr="00BA5065">
        <w:t>be used</w:t>
      </w:r>
      <w:r w:rsidRPr="00A22751">
        <w:t xml:space="preserve"> to reduce the budget deficit, likewise any real term decreases will be reflected in </w:t>
      </w:r>
      <w:r w:rsidR="008F3F0F">
        <w:t xml:space="preserve">the </w:t>
      </w:r>
      <w:r w:rsidRPr="00A22751">
        <w:t>length of time the repayment</w:t>
      </w:r>
      <w:r w:rsidR="008F3F0F">
        <w:t xml:space="preserve"> is</w:t>
      </w:r>
      <w:r w:rsidRPr="00A22751">
        <w:rPr>
          <w:spacing w:val="-2"/>
        </w:rPr>
        <w:t xml:space="preserve"> </w:t>
      </w:r>
      <w:r w:rsidRPr="00A22751">
        <w:t>made</w:t>
      </w:r>
      <w:r w:rsidR="008F3F0F">
        <w:t>.</w:t>
      </w:r>
    </w:p>
    <w:p w14:paraId="52BFCD42" w14:textId="77777777" w:rsidR="006D724E" w:rsidRPr="00A22751" w:rsidRDefault="006D724E">
      <w:pPr>
        <w:pStyle w:val="BodyText"/>
        <w:spacing w:before="7"/>
      </w:pPr>
    </w:p>
    <w:p w14:paraId="52BFCD43" w14:textId="77777777" w:rsidR="006D724E" w:rsidRPr="004C4563" w:rsidRDefault="009F37FD" w:rsidP="006D724E">
      <w:pPr>
        <w:pStyle w:val="Heading1"/>
        <w:numPr>
          <w:ilvl w:val="1"/>
          <w:numId w:val="5"/>
        </w:numPr>
        <w:tabs>
          <w:tab w:val="left" w:pos="1639"/>
        </w:tabs>
        <w:rPr>
          <w:szCs w:val="22"/>
        </w:rPr>
      </w:pPr>
      <w:r w:rsidRPr="004C4563">
        <w:rPr>
          <w:szCs w:val="22"/>
        </w:rPr>
        <w:t>Loan</w:t>
      </w:r>
      <w:r w:rsidRPr="004C4563">
        <w:rPr>
          <w:spacing w:val="-1"/>
          <w:szCs w:val="22"/>
        </w:rPr>
        <w:t xml:space="preserve"> </w:t>
      </w:r>
      <w:r w:rsidRPr="004C4563">
        <w:rPr>
          <w:szCs w:val="22"/>
        </w:rPr>
        <w:t>Schemes</w:t>
      </w:r>
    </w:p>
    <w:p w14:paraId="52BFCD44" w14:textId="77777777" w:rsidR="006D724E" w:rsidRPr="00A22751" w:rsidRDefault="009F37FD" w:rsidP="00610345">
      <w:pPr>
        <w:pStyle w:val="BodyText"/>
        <w:ind w:left="919" w:right="1208"/>
        <w:jc w:val="both"/>
      </w:pPr>
      <w:r w:rsidRPr="00A22751">
        <w:t>Loans will only be used to assist schools in spreading the cost over more than one year of large one-off individual items of a capital nature that have a benefit to the school lasting more than one financial or academic year.</w:t>
      </w:r>
    </w:p>
    <w:p w14:paraId="532D1CE6" w14:textId="77777777" w:rsidR="006E468B" w:rsidRDefault="006E468B" w:rsidP="00610345">
      <w:pPr>
        <w:pStyle w:val="BodyText"/>
        <w:ind w:left="917" w:right="1012"/>
        <w:jc w:val="both"/>
      </w:pPr>
    </w:p>
    <w:p w14:paraId="52BFCD46" w14:textId="77777777" w:rsidR="006D724E" w:rsidRPr="00A22751" w:rsidRDefault="009F37FD" w:rsidP="00610345">
      <w:pPr>
        <w:pStyle w:val="BodyText"/>
        <w:ind w:left="917" w:right="1012"/>
        <w:jc w:val="both"/>
      </w:pPr>
      <w:r w:rsidRPr="00A22751">
        <w:t>Loans will not be used as a means of funding a deficit that has arisen because a school’s recurrent costs exceed its current income.</w:t>
      </w:r>
    </w:p>
    <w:p w14:paraId="52BFCD47" w14:textId="77777777" w:rsidR="006D724E" w:rsidRPr="00A22751" w:rsidRDefault="006D724E" w:rsidP="00610345">
      <w:pPr>
        <w:pStyle w:val="BodyText"/>
        <w:spacing w:before="11"/>
        <w:jc w:val="both"/>
      </w:pPr>
    </w:p>
    <w:p w14:paraId="52BFCD48" w14:textId="5486793F" w:rsidR="006D724E" w:rsidRDefault="009F37FD" w:rsidP="00610345">
      <w:pPr>
        <w:pStyle w:val="BodyText"/>
        <w:ind w:left="917" w:right="1060"/>
        <w:jc w:val="both"/>
      </w:pPr>
      <w:r>
        <w:t>If loans are made to fund a deficit and a school subsequently converts to academy status, the Secretary of State will consider using the power under paragraph 13(4)(d) of Schedule 1 to the Academies Act 2010 to make a direction to the effect that</w:t>
      </w:r>
      <w:r w:rsidR="00BA5065">
        <w:t xml:space="preserve"> such a loan does not transfer, </w:t>
      </w:r>
      <w:r>
        <w:t xml:space="preserve">either in </w:t>
      </w:r>
      <w:r>
        <w:lastRenderedPageBreak/>
        <w:t>full or part, to the new academy school.</w:t>
      </w:r>
    </w:p>
    <w:p w14:paraId="52BFCD49" w14:textId="77777777" w:rsidR="006D724E" w:rsidRDefault="006D724E" w:rsidP="006D724E">
      <w:pPr>
        <w:pStyle w:val="BodyText"/>
        <w:spacing w:before="10"/>
        <w:jc w:val="both"/>
        <w:rPr>
          <w:sz w:val="21"/>
        </w:rPr>
      </w:pPr>
    </w:p>
    <w:p w14:paraId="52BFCD4A" w14:textId="77777777" w:rsidR="006D724E" w:rsidRDefault="009F37FD" w:rsidP="006D724E">
      <w:pPr>
        <w:pStyle w:val="Heading1"/>
        <w:numPr>
          <w:ilvl w:val="1"/>
          <w:numId w:val="5"/>
        </w:numPr>
        <w:tabs>
          <w:tab w:val="left" w:pos="1639"/>
        </w:tabs>
        <w:jc w:val="both"/>
      </w:pPr>
      <w:r>
        <w:t xml:space="preserve"> Credit Union Approach</w:t>
      </w:r>
    </w:p>
    <w:p w14:paraId="52BFCD4C" w14:textId="0436A417" w:rsidR="006D724E" w:rsidRDefault="009F37FD" w:rsidP="00610345">
      <w:pPr>
        <w:pStyle w:val="BodyText"/>
        <w:ind w:left="919" w:right="1038"/>
        <w:jc w:val="both"/>
      </w:pPr>
      <w:r>
        <w:t xml:space="preserve">Because the Authority is offering a licensed deficit scheme, it does not think there is a need for schools to operate a Credit Union approach to funding of school deficits. </w:t>
      </w:r>
      <w:r w:rsidR="008F3F0F">
        <w:t xml:space="preserve"> </w:t>
      </w:r>
      <w:r>
        <w:t>However</w:t>
      </w:r>
      <w:r w:rsidR="008F3F0F">
        <w:t>,</w:t>
      </w:r>
      <w:r>
        <w:t xml:space="preserve"> if schools group together to utilise balances to fund a credit union approach to loans the accounts for such arrangements must be audited on an annual basis and an audit certificate provided to the Borough Treasurer. </w:t>
      </w:r>
      <w:r w:rsidR="003E156C">
        <w:t xml:space="preserve"> </w:t>
      </w:r>
      <w:r>
        <w:t>The Borough Treasurer will also issue guidance on the operation of such accounts which must be followed.</w:t>
      </w:r>
    </w:p>
    <w:p w14:paraId="52BFCD4F" w14:textId="77777777" w:rsidR="006D724E" w:rsidRDefault="006D724E">
      <w:pPr>
        <w:pStyle w:val="BodyText"/>
        <w:rPr>
          <w:sz w:val="20"/>
        </w:rPr>
      </w:pPr>
    </w:p>
    <w:p w14:paraId="52BFCD50" w14:textId="77777777" w:rsidR="006D724E" w:rsidRDefault="006D724E">
      <w:pPr>
        <w:pStyle w:val="BodyText"/>
        <w:rPr>
          <w:sz w:val="20"/>
        </w:rPr>
      </w:pPr>
    </w:p>
    <w:p w14:paraId="52BFCD56" w14:textId="77777777" w:rsidR="006D724E" w:rsidRDefault="009F37FD" w:rsidP="006D724E">
      <w:pPr>
        <w:pStyle w:val="ListParagraph"/>
        <w:numPr>
          <w:ilvl w:val="0"/>
          <w:numId w:val="5"/>
        </w:numPr>
        <w:tabs>
          <w:tab w:val="left" w:pos="1637"/>
          <w:tab w:val="left" w:pos="1639"/>
        </w:tabs>
        <w:spacing w:before="65"/>
        <w:ind w:left="1638"/>
        <w:rPr>
          <w:b/>
          <w:sz w:val="36"/>
        </w:rPr>
      </w:pPr>
      <w:r>
        <w:rPr>
          <w:b/>
          <w:sz w:val="36"/>
        </w:rPr>
        <w:t>Income</w:t>
      </w:r>
    </w:p>
    <w:p w14:paraId="52BFCD57" w14:textId="77777777" w:rsidR="006D724E" w:rsidRDefault="009F37FD" w:rsidP="006D724E">
      <w:pPr>
        <w:pStyle w:val="ListParagraph"/>
        <w:numPr>
          <w:ilvl w:val="1"/>
          <w:numId w:val="5"/>
        </w:numPr>
        <w:tabs>
          <w:tab w:val="left" w:pos="1637"/>
          <w:tab w:val="left" w:pos="1639"/>
        </w:tabs>
        <w:spacing w:before="326"/>
        <w:rPr>
          <w:b/>
          <w:sz w:val="28"/>
        </w:rPr>
      </w:pPr>
      <w:r>
        <w:rPr>
          <w:b/>
          <w:sz w:val="28"/>
        </w:rPr>
        <w:t>Income from Lettings</w:t>
      </w:r>
    </w:p>
    <w:p w14:paraId="52BFCD59" w14:textId="77777777" w:rsidR="006D724E" w:rsidRDefault="009F37FD" w:rsidP="00610345">
      <w:pPr>
        <w:pStyle w:val="BodyText"/>
        <w:ind w:left="919" w:right="1015"/>
        <w:jc w:val="both"/>
      </w:pPr>
      <w:r>
        <w:t>All income from lettings shall accrue to the school except where it is separately agreed between the school and the Authority that there will be some income sharing activity or where PFI or joint use agreements provide otherwise.</w:t>
      </w:r>
    </w:p>
    <w:p w14:paraId="52BFCD5A" w14:textId="77777777" w:rsidR="006D724E" w:rsidRDefault="006D724E" w:rsidP="006D724E">
      <w:pPr>
        <w:pStyle w:val="BodyText"/>
        <w:ind w:left="917" w:right="1014"/>
      </w:pPr>
    </w:p>
    <w:p w14:paraId="52BFCD5B" w14:textId="085F07D9" w:rsidR="006D724E" w:rsidRDefault="009F37FD" w:rsidP="00610345">
      <w:pPr>
        <w:pStyle w:val="BodyText"/>
        <w:ind w:left="919" w:right="1015"/>
        <w:jc w:val="both"/>
      </w:pPr>
      <w:r>
        <w:t>Schools shall have the freedom to determine the charges for income from lettings and to cross subsidise lettings for community and voluntary use with income fro</w:t>
      </w:r>
      <w:r w:rsidR="003E156C">
        <w:t xml:space="preserve">m other lettings, provided the governing </w:t>
      </w:r>
      <w:r w:rsidR="00BA5065">
        <w:t>body</w:t>
      </w:r>
      <w:r>
        <w:t xml:space="preserve"> is satisfied that this will not interfere to a significant extent with the performance of any duties imposed on them by the Education Acts, including the requirement to conduct the school with a view to promoting high standards of educational achievement and within the restriction that lettings should not result in a net cost to the school budget.  Schools shall also have regard to any directions issued by the Authority from time to time as to the use of school premises, as permitted under the Act for various categories of schools.</w:t>
      </w:r>
    </w:p>
    <w:p w14:paraId="52BFCD5C" w14:textId="77777777" w:rsidR="006D724E" w:rsidRDefault="006D724E" w:rsidP="00610345">
      <w:pPr>
        <w:pStyle w:val="BodyText"/>
        <w:ind w:left="919" w:right="1015"/>
        <w:jc w:val="both"/>
      </w:pPr>
    </w:p>
    <w:p w14:paraId="52BFCD5D" w14:textId="77777777" w:rsidR="006D724E" w:rsidRDefault="009F37FD" w:rsidP="00610345">
      <w:pPr>
        <w:pStyle w:val="BodyText"/>
        <w:ind w:left="919" w:right="1015"/>
        <w:jc w:val="both"/>
      </w:pPr>
      <w:r>
        <w:t>This income should be accounted for in the schools’ main bank accounts.  Income from lettings of school premises should not normally be payable into voluntary or private funds held by the school.</w:t>
      </w:r>
    </w:p>
    <w:p w14:paraId="52BFCD5E" w14:textId="77777777" w:rsidR="006D724E" w:rsidRPr="00EE7C68" w:rsidRDefault="006D724E" w:rsidP="006D724E">
      <w:pPr>
        <w:pStyle w:val="BodyText"/>
        <w:spacing w:before="6"/>
      </w:pPr>
    </w:p>
    <w:p w14:paraId="52BFCD5F" w14:textId="77777777" w:rsidR="006D724E" w:rsidRDefault="009F37FD" w:rsidP="006D724E">
      <w:pPr>
        <w:pStyle w:val="Heading1"/>
        <w:numPr>
          <w:ilvl w:val="1"/>
          <w:numId w:val="5"/>
        </w:numPr>
        <w:tabs>
          <w:tab w:val="left" w:pos="1637"/>
          <w:tab w:val="left" w:pos="1639"/>
        </w:tabs>
        <w:spacing w:before="1"/>
      </w:pPr>
      <w:r>
        <w:t>Income from Fees and</w:t>
      </w:r>
      <w:r>
        <w:rPr>
          <w:spacing w:val="-2"/>
        </w:rPr>
        <w:t xml:space="preserve"> </w:t>
      </w:r>
      <w:r>
        <w:t>Charges</w:t>
      </w:r>
    </w:p>
    <w:p w14:paraId="52BFCD60" w14:textId="77777777" w:rsidR="006D724E" w:rsidRPr="00C82E0F" w:rsidRDefault="009F37FD" w:rsidP="00610345">
      <w:pPr>
        <w:pStyle w:val="BodyText"/>
        <w:ind w:left="919" w:right="1015"/>
        <w:jc w:val="both"/>
      </w:pPr>
      <w:r>
        <w:t>S</w:t>
      </w:r>
      <w:r w:rsidRPr="00C82E0F">
        <w:t>chools shall retain income from fees and charges except where these relate to services that the Authority has provided from centrally retained funds.  Schools should take account of guidance that the Authority may issue from time to time on charging policies when determining their own charging policy.  Schools should review their charging policy on an annual basis to ensure that the full costs are recovered.</w:t>
      </w:r>
    </w:p>
    <w:p w14:paraId="52BFCD61" w14:textId="77777777" w:rsidR="006D724E" w:rsidRPr="00EE7C68" w:rsidRDefault="006D724E">
      <w:pPr>
        <w:pStyle w:val="BodyText"/>
        <w:spacing w:before="11"/>
      </w:pPr>
    </w:p>
    <w:p w14:paraId="52BFCD62" w14:textId="11E2FDA2" w:rsidR="006D724E" w:rsidRDefault="00B158BB" w:rsidP="006D724E">
      <w:pPr>
        <w:pStyle w:val="Heading1"/>
        <w:numPr>
          <w:ilvl w:val="1"/>
          <w:numId w:val="5"/>
        </w:numPr>
        <w:tabs>
          <w:tab w:val="left" w:pos="1637"/>
          <w:tab w:val="left" w:pos="1639"/>
        </w:tabs>
      </w:pPr>
      <w:r>
        <w:t>Income from Fund R</w:t>
      </w:r>
      <w:r w:rsidR="009F37FD">
        <w:t>aising</w:t>
      </w:r>
      <w:r w:rsidR="009F37FD">
        <w:rPr>
          <w:spacing w:val="1"/>
        </w:rPr>
        <w:t xml:space="preserve"> </w:t>
      </w:r>
      <w:r w:rsidR="009F37FD">
        <w:t>Activities</w:t>
      </w:r>
    </w:p>
    <w:p w14:paraId="52BFCD63" w14:textId="77777777" w:rsidR="006D724E" w:rsidRDefault="009F37FD" w:rsidP="00610345">
      <w:pPr>
        <w:pStyle w:val="BodyText"/>
        <w:ind w:left="919"/>
        <w:jc w:val="both"/>
      </w:pPr>
      <w:r>
        <w:t>Schools are allowed to retain income from fund-raising activities.</w:t>
      </w:r>
    </w:p>
    <w:p w14:paraId="52BFCD64" w14:textId="77777777" w:rsidR="006D724E" w:rsidRPr="00EE7C68" w:rsidRDefault="006D724E">
      <w:pPr>
        <w:pStyle w:val="BodyText"/>
      </w:pPr>
    </w:p>
    <w:p w14:paraId="52BFCD65" w14:textId="77777777" w:rsidR="006D724E" w:rsidRDefault="009F37FD" w:rsidP="006D724E">
      <w:pPr>
        <w:pStyle w:val="Heading1"/>
        <w:numPr>
          <w:ilvl w:val="1"/>
          <w:numId w:val="5"/>
        </w:numPr>
        <w:tabs>
          <w:tab w:val="left" w:pos="1637"/>
          <w:tab w:val="left" w:pos="1639"/>
        </w:tabs>
      </w:pPr>
      <w:r>
        <w:t>Income from Sale of</w:t>
      </w:r>
      <w:r>
        <w:rPr>
          <w:spacing w:val="-1"/>
        </w:rPr>
        <w:t xml:space="preserve"> </w:t>
      </w:r>
      <w:r>
        <w:t>Assets</w:t>
      </w:r>
    </w:p>
    <w:p w14:paraId="52BFCD67" w14:textId="77777777" w:rsidR="006D724E" w:rsidRDefault="009F37FD" w:rsidP="00610345">
      <w:pPr>
        <w:pStyle w:val="BodyText"/>
        <w:ind w:left="917"/>
        <w:jc w:val="both"/>
      </w:pPr>
      <w:r>
        <w:t>Schools will be allowed to retain income from the sale of assets except where:</w:t>
      </w:r>
    </w:p>
    <w:p w14:paraId="52BFCD68" w14:textId="77777777" w:rsidR="006D724E" w:rsidRDefault="006D724E" w:rsidP="00610345">
      <w:pPr>
        <w:pStyle w:val="BodyText"/>
        <w:spacing w:before="2"/>
        <w:jc w:val="both"/>
      </w:pPr>
    </w:p>
    <w:p w14:paraId="52BFCD69" w14:textId="0BB71847" w:rsidR="006D724E" w:rsidRDefault="009F37FD" w:rsidP="00610345">
      <w:pPr>
        <w:pStyle w:val="ListParagraph"/>
        <w:numPr>
          <w:ilvl w:val="2"/>
          <w:numId w:val="5"/>
        </w:numPr>
        <w:tabs>
          <w:tab w:val="left" w:pos="1637"/>
          <w:tab w:val="left" w:pos="1639"/>
        </w:tabs>
        <w:spacing w:before="1"/>
        <w:ind w:right="1060" w:hanging="360"/>
        <w:jc w:val="both"/>
      </w:pPr>
      <w:r>
        <w:t xml:space="preserve">the asset was purchased from non-delegated funds (in which case the Local Authority </w:t>
      </w:r>
      <w:r>
        <w:rPr>
          <w:spacing w:val="-3"/>
        </w:rPr>
        <w:t xml:space="preserve">shall have the power to determine whether the school will retain the proceeds or not </w:t>
      </w:r>
      <w:r w:rsidR="00610345">
        <w:rPr>
          <w:spacing w:val="-3"/>
        </w:rPr>
        <w:t>(</w:t>
      </w:r>
      <w:r>
        <w:t>determine who is entitled to retain the</w:t>
      </w:r>
      <w:r>
        <w:rPr>
          <w:spacing w:val="-7"/>
        </w:rPr>
        <w:t xml:space="preserve"> </w:t>
      </w:r>
      <w:r>
        <w:t>income);</w:t>
      </w:r>
    </w:p>
    <w:p w14:paraId="0A2B0C5A" w14:textId="77777777" w:rsidR="00447189" w:rsidRDefault="00447189" w:rsidP="00447189">
      <w:pPr>
        <w:pStyle w:val="ListParagraph"/>
        <w:tabs>
          <w:tab w:val="left" w:pos="1637"/>
          <w:tab w:val="left" w:pos="1639"/>
        </w:tabs>
        <w:spacing w:before="1"/>
        <w:ind w:right="1060" w:firstLine="0"/>
        <w:jc w:val="both"/>
      </w:pPr>
    </w:p>
    <w:p w14:paraId="58E4B74E" w14:textId="5AEA3701" w:rsidR="00447189" w:rsidRPr="009357BE" w:rsidRDefault="00447189" w:rsidP="009C672B">
      <w:pPr>
        <w:pStyle w:val="ListParagraph"/>
        <w:numPr>
          <w:ilvl w:val="2"/>
          <w:numId w:val="5"/>
        </w:numPr>
        <w:tabs>
          <w:tab w:val="left" w:pos="1637"/>
          <w:tab w:val="left" w:pos="1639"/>
        </w:tabs>
        <w:spacing w:before="1"/>
        <w:ind w:right="1060" w:hanging="360"/>
        <w:jc w:val="both"/>
      </w:pPr>
      <w:r w:rsidRPr="009357BE">
        <w:t>the asset is part of land and buildings forming part of the school premises and is owned by the Local</w:t>
      </w:r>
      <w:r w:rsidRPr="009357BE">
        <w:rPr>
          <w:spacing w:val="-6"/>
        </w:rPr>
        <w:t xml:space="preserve"> </w:t>
      </w:r>
      <w:r w:rsidRPr="009357BE">
        <w:t>Authority. Any retention of funds from the sale of land assets is subject to the consent of the Secretary of State, and any conditions the Secretary of State may attach to that consent relating to use of proceeds.</w:t>
      </w:r>
    </w:p>
    <w:p w14:paraId="52092BFD" w14:textId="77777777" w:rsidR="00447189" w:rsidRPr="009357BE" w:rsidRDefault="00447189" w:rsidP="00447189">
      <w:pPr>
        <w:pStyle w:val="ListParagraph"/>
        <w:tabs>
          <w:tab w:val="left" w:pos="1637"/>
          <w:tab w:val="left" w:pos="1639"/>
        </w:tabs>
        <w:ind w:right="1060" w:firstLine="0"/>
        <w:jc w:val="both"/>
      </w:pPr>
    </w:p>
    <w:p w14:paraId="52BFCD6A" w14:textId="002DEE07" w:rsidR="006D724E" w:rsidRPr="009357BE" w:rsidRDefault="00447189" w:rsidP="00447189">
      <w:pPr>
        <w:tabs>
          <w:tab w:val="left" w:pos="1637"/>
          <w:tab w:val="left" w:pos="1639"/>
        </w:tabs>
        <w:ind w:left="1637" w:right="1060"/>
        <w:jc w:val="both"/>
      </w:pPr>
      <w:r w:rsidRPr="009357BE">
        <w:tab/>
        <w:t>The retention of proceeds of sale for premises not owned by the local authority will not be a matter for the scheme.</w:t>
      </w:r>
    </w:p>
    <w:p w14:paraId="52BFCD6B" w14:textId="77777777" w:rsidR="006D724E" w:rsidRPr="009357BE" w:rsidRDefault="006D724E" w:rsidP="00610345">
      <w:pPr>
        <w:pStyle w:val="BodyText"/>
        <w:spacing w:before="10"/>
        <w:jc w:val="both"/>
      </w:pPr>
    </w:p>
    <w:p w14:paraId="52BFCD6C" w14:textId="77777777" w:rsidR="006D724E" w:rsidRPr="00EE7C68" w:rsidRDefault="009F37FD" w:rsidP="00610345">
      <w:pPr>
        <w:pStyle w:val="BodyText"/>
        <w:ind w:left="917" w:right="1060"/>
        <w:jc w:val="both"/>
      </w:pPr>
      <w:r w:rsidRPr="009357BE">
        <w:lastRenderedPageBreak/>
        <w:t xml:space="preserve">Schools are reminded that when they are disposing of </w:t>
      </w:r>
      <w:proofErr w:type="gramStart"/>
      <w:r w:rsidRPr="009357BE">
        <w:t>assets</w:t>
      </w:r>
      <w:proofErr w:type="gramEnd"/>
      <w:r w:rsidRPr="009357BE">
        <w:t xml:space="preserve"> they should take recognition of the guidance in the Authority’s financial regulations.</w:t>
      </w:r>
    </w:p>
    <w:p w14:paraId="52BFCD6D" w14:textId="77777777" w:rsidR="006D724E" w:rsidRPr="00EE7C68" w:rsidRDefault="006D724E">
      <w:pPr>
        <w:pStyle w:val="BodyText"/>
        <w:spacing w:before="11"/>
      </w:pPr>
    </w:p>
    <w:p w14:paraId="52BFCD6E" w14:textId="77777777" w:rsidR="006D724E" w:rsidRDefault="009F37FD" w:rsidP="00610345">
      <w:pPr>
        <w:pStyle w:val="Heading1"/>
        <w:numPr>
          <w:ilvl w:val="1"/>
          <w:numId w:val="5"/>
        </w:numPr>
        <w:tabs>
          <w:tab w:val="left" w:pos="1637"/>
          <w:tab w:val="left" w:pos="1639"/>
        </w:tabs>
      </w:pPr>
      <w:r>
        <w:t>Administrative Procedures for the Collection of</w:t>
      </w:r>
      <w:r>
        <w:rPr>
          <w:spacing w:val="-2"/>
        </w:rPr>
        <w:t xml:space="preserve"> </w:t>
      </w:r>
      <w:r>
        <w:t>Income</w:t>
      </w:r>
    </w:p>
    <w:p w14:paraId="52BFCD6F" w14:textId="77777777" w:rsidR="006D724E" w:rsidRDefault="009F37FD" w:rsidP="00610345">
      <w:pPr>
        <w:pStyle w:val="BodyText"/>
        <w:ind w:left="917" w:right="1060"/>
        <w:jc w:val="both"/>
      </w:pPr>
      <w:r w:rsidRPr="0017132A">
        <w:t>All income collected by schools, including income collected on behalf of the Authority (e.g. school meals income) should be collected and recorded in line with the guidance provided in the Tameside Financial Regulations for Schools.</w:t>
      </w:r>
    </w:p>
    <w:p w14:paraId="52BFCD71" w14:textId="77777777" w:rsidR="006D724E" w:rsidRPr="0017132A" w:rsidRDefault="009F37FD" w:rsidP="00610345">
      <w:pPr>
        <w:pStyle w:val="BodyText"/>
        <w:ind w:left="917" w:right="1060"/>
        <w:jc w:val="both"/>
      </w:pPr>
      <w:r w:rsidRPr="0017132A">
        <w:t xml:space="preserve">Where relevant, VAT should be charged on lettings and services provided by schools.  Further information on when VAT should be charged can be found in the Finance Regulations for Tameside Schools or by contacting </w:t>
      </w:r>
      <w:r>
        <w:t>the Finance Team</w:t>
      </w:r>
      <w:r w:rsidRPr="0017132A">
        <w:t xml:space="preserve">. </w:t>
      </w:r>
    </w:p>
    <w:p w14:paraId="52BFCD72" w14:textId="77777777" w:rsidR="006D724E" w:rsidRPr="00EE7C68" w:rsidRDefault="006D724E">
      <w:pPr>
        <w:pStyle w:val="BodyText"/>
        <w:spacing w:before="11"/>
      </w:pPr>
    </w:p>
    <w:p w14:paraId="52BFCD73" w14:textId="5DDD3B94" w:rsidR="006D724E" w:rsidRDefault="00B158BB" w:rsidP="006D724E">
      <w:pPr>
        <w:pStyle w:val="Heading1"/>
        <w:numPr>
          <w:ilvl w:val="1"/>
          <w:numId w:val="5"/>
        </w:numPr>
        <w:tabs>
          <w:tab w:val="left" w:pos="1637"/>
          <w:tab w:val="left" w:pos="1639"/>
        </w:tabs>
      </w:pPr>
      <w:r>
        <w:t>Purposes for Which Income M</w:t>
      </w:r>
      <w:r w:rsidR="009F37FD">
        <w:t>ay be</w:t>
      </w:r>
      <w:r w:rsidR="009F37FD">
        <w:rPr>
          <w:spacing w:val="-14"/>
        </w:rPr>
        <w:t xml:space="preserve"> </w:t>
      </w:r>
      <w:r>
        <w:t>U</w:t>
      </w:r>
      <w:r w:rsidR="009F37FD">
        <w:t>sed</w:t>
      </w:r>
    </w:p>
    <w:p w14:paraId="52BFCD74" w14:textId="77777777" w:rsidR="006D724E" w:rsidRDefault="009F37FD" w:rsidP="00610345">
      <w:pPr>
        <w:pStyle w:val="BodyText"/>
        <w:ind w:left="919" w:right="998"/>
      </w:pPr>
      <w:r>
        <w:t>Income generated from the sale of assets purchased from the delegated budget may only be spent for the purposes of the school.</w:t>
      </w:r>
    </w:p>
    <w:p w14:paraId="6C16DD16" w14:textId="77777777" w:rsidR="006D724E" w:rsidRDefault="006D724E">
      <w:pPr>
        <w:jc w:val="center"/>
      </w:pPr>
    </w:p>
    <w:p w14:paraId="52BFCD76"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t>The Charging of School Budget</w:t>
      </w:r>
      <w:r>
        <w:rPr>
          <w:b/>
          <w:spacing w:val="-2"/>
          <w:sz w:val="36"/>
        </w:rPr>
        <w:t xml:space="preserve"> </w:t>
      </w:r>
      <w:r>
        <w:rPr>
          <w:b/>
          <w:sz w:val="36"/>
        </w:rPr>
        <w:t>Shares</w:t>
      </w:r>
    </w:p>
    <w:p w14:paraId="52BFCD77" w14:textId="77777777" w:rsidR="006D724E" w:rsidRDefault="009F37FD" w:rsidP="006D724E">
      <w:pPr>
        <w:pStyle w:val="ListParagraph"/>
        <w:numPr>
          <w:ilvl w:val="1"/>
          <w:numId w:val="5"/>
        </w:numPr>
        <w:tabs>
          <w:tab w:val="left" w:pos="1637"/>
          <w:tab w:val="left" w:pos="1639"/>
        </w:tabs>
        <w:spacing w:before="326"/>
        <w:jc w:val="both"/>
        <w:rPr>
          <w:b/>
          <w:sz w:val="28"/>
        </w:rPr>
      </w:pPr>
      <w:r>
        <w:rPr>
          <w:b/>
          <w:sz w:val="28"/>
        </w:rPr>
        <w:t>General</w:t>
      </w:r>
      <w:r>
        <w:rPr>
          <w:b/>
          <w:spacing w:val="-2"/>
          <w:sz w:val="28"/>
        </w:rPr>
        <w:t xml:space="preserve"> </w:t>
      </w:r>
      <w:r>
        <w:rPr>
          <w:b/>
          <w:sz w:val="28"/>
        </w:rPr>
        <w:t>Provision</w:t>
      </w:r>
    </w:p>
    <w:p w14:paraId="52BFCD78" w14:textId="0B4C78A0" w:rsidR="006D724E" w:rsidRDefault="009F37FD" w:rsidP="00610345">
      <w:pPr>
        <w:pStyle w:val="BodyText"/>
        <w:ind w:left="919" w:right="1134"/>
        <w:jc w:val="both"/>
      </w:pPr>
      <w:r w:rsidRPr="00927E63">
        <w:t xml:space="preserve">The Authority shall have the right to charge the school share of one or more schools without their consent under any of the circumstances listed in Section 6.2 below.  The Authority shall only charge the school budget after consultation with the school.  This consultation does not have to result in the school agreeing to the charge before the charge is made.  Once the Authority has levied a charge on the school budget, it shall notify the school in writing within 7 days of this event.  Schools that wish to dispute the charge </w:t>
      </w:r>
      <w:r w:rsidRPr="0017132A">
        <w:t>shall in the first instance discuss their concerns with the S151 Officer and the</w:t>
      </w:r>
      <w:r w:rsidR="001C768A">
        <w:t xml:space="preserve"> Assistant Executive Director, </w:t>
      </w:r>
      <w:r w:rsidRPr="0017132A">
        <w:t>Education.  Where the dispute cannot be resolved, the school may present their case to the Executive Member (Learning, Skills and Economic Growth) who will arbitrate on the issue.</w:t>
      </w:r>
    </w:p>
    <w:p w14:paraId="52BFCD79" w14:textId="77777777" w:rsidR="006D724E" w:rsidRPr="00927E63" w:rsidRDefault="006D724E" w:rsidP="006D724E">
      <w:pPr>
        <w:pStyle w:val="BodyText"/>
        <w:ind w:left="919" w:right="1134"/>
        <w:jc w:val="both"/>
      </w:pPr>
    </w:p>
    <w:p w14:paraId="52BFCD7A" w14:textId="77777777" w:rsidR="006D724E" w:rsidRDefault="009F37FD" w:rsidP="00610345">
      <w:pPr>
        <w:pStyle w:val="BodyText"/>
        <w:ind w:left="919" w:right="1134"/>
        <w:jc w:val="both"/>
      </w:pPr>
      <w:r w:rsidRPr="0017132A">
        <w:t xml:space="preserve">In any of the circumstances listed below in section 6.2, the Authority will demonstrate that additional expenditure has incurred </w:t>
      </w:r>
      <w:proofErr w:type="gramStart"/>
      <w:r w:rsidRPr="0017132A">
        <w:t>as a result of</w:t>
      </w:r>
      <w:proofErr w:type="gramEnd"/>
      <w:r w:rsidRPr="0017132A">
        <w:t xml:space="preserve"> action or inaction school before the charge on the budget share is made.</w:t>
      </w:r>
    </w:p>
    <w:p w14:paraId="52BFCD7B" w14:textId="77777777" w:rsidR="006D724E" w:rsidRPr="0017132A" w:rsidRDefault="006D724E" w:rsidP="00610345">
      <w:pPr>
        <w:pStyle w:val="BodyText"/>
        <w:ind w:left="919" w:right="1134"/>
        <w:jc w:val="both"/>
      </w:pPr>
    </w:p>
    <w:p w14:paraId="52BFCD7C" w14:textId="5A653005" w:rsidR="006D724E" w:rsidRPr="0017132A" w:rsidRDefault="001C768A" w:rsidP="00610345">
      <w:pPr>
        <w:pStyle w:val="BodyText"/>
        <w:ind w:left="919" w:right="1134"/>
        <w:jc w:val="both"/>
      </w:pPr>
      <w:r>
        <w:t>For the avoidance of doubt, local a</w:t>
      </w:r>
      <w:r w:rsidR="009F37FD" w:rsidRPr="0017132A">
        <w:t xml:space="preserve">uthorities may de-delegate funding for permitted services without the express permission of the </w:t>
      </w:r>
      <w:r>
        <w:t>governing b</w:t>
      </w:r>
      <w:r w:rsidR="009F37FD" w:rsidRPr="0017132A">
        <w:t>ody, provided this has been approved by the appropriate sector representatives of the Schools</w:t>
      </w:r>
      <w:r>
        <w:t>’</w:t>
      </w:r>
      <w:r w:rsidR="009F37FD" w:rsidRPr="0017132A">
        <w:t xml:space="preserve"> Forum.</w:t>
      </w:r>
    </w:p>
    <w:p w14:paraId="52BFCD7D" w14:textId="77777777" w:rsidR="006D724E" w:rsidRPr="00EE7C68" w:rsidRDefault="006D724E" w:rsidP="006D724E">
      <w:pPr>
        <w:pStyle w:val="BodyText"/>
        <w:spacing w:before="9"/>
        <w:jc w:val="both"/>
      </w:pPr>
    </w:p>
    <w:p w14:paraId="52BFCD7E" w14:textId="63E50DF7" w:rsidR="006D724E" w:rsidRPr="003269DD" w:rsidRDefault="009F37FD" w:rsidP="006D724E">
      <w:pPr>
        <w:pStyle w:val="Heading3"/>
        <w:spacing w:before="1"/>
        <w:ind w:left="917" w:right="0"/>
        <w:jc w:val="both"/>
        <w:rPr>
          <w:b/>
          <w:bCs/>
          <w:szCs w:val="28"/>
        </w:rPr>
      </w:pPr>
      <w:r w:rsidRPr="003269DD">
        <w:rPr>
          <w:b/>
          <w:bCs/>
          <w:szCs w:val="28"/>
        </w:rPr>
        <w:t>6.1.1</w:t>
      </w:r>
      <w:r w:rsidR="00A314CE">
        <w:rPr>
          <w:b/>
          <w:bCs/>
          <w:szCs w:val="28"/>
        </w:rPr>
        <w:t xml:space="preserve"> Salary C</w:t>
      </w:r>
      <w:r w:rsidRPr="003269DD">
        <w:rPr>
          <w:b/>
          <w:bCs/>
          <w:szCs w:val="28"/>
        </w:rPr>
        <w:t>osts</w:t>
      </w:r>
    </w:p>
    <w:p w14:paraId="52BFCD7F" w14:textId="77777777" w:rsidR="006D724E" w:rsidRDefault="006D724E" w:rsidP="006D724E">
      <w:pPr>
        <w:pStyle w:val="BodyText"/>
        <w:spacing w:before="3"/>
        <w:jc w:val="both"/>
      </w:pPr>
    </w:p>
    <w:p w14:paraId="52BFCD80" w14:textId="77777777" w:rsidR="006D724E" w:rsidRDefault="009F37FD" w:rsidP="006D724E">
      <w:pPr>
        <w:pStyle w:val="BodyText"/>
        <w:ind w:left="917"/>
        <w:jc w:val="both"/>
      </w:pPr>
      <w:r>
        <w:t>School based staff will be charged to school budget shares at actual cost.</w:t>
      </w:r>
    </w:p>
    <w:p w14:paraId="52BFCD81" w14:textId="77777777" w:rsidR="006D724E" w:rsidRPr="00EE7C68" w:rsidRDefault="006D724E" w:rsidP="006D724E">
      <w:pPr>
        <w:pStyle w:val="BodyText"/>
        <w:spacing w:before="11"/>
        <w:jc w:val="both"/>
      </w:pPr>
    </w:p>
    <w:p w14:paraId="52BFCD82" w14:textId="43501A9F" w:rsidR="006D724E" w:rsidRDefault="00B158BB" w:rsidP="006D724E">
      <w:pPr>
        <w:pStyle w:val="Heading1"/>
        <w:numPr>
          <w:ilvl w:val="1"/>
          <w:numId w:val="4"/>
        </w:numPr>
        <w:tabs>
          <w:tab w:val="left" w:pos="1637"/>
          <w:tab w:val="left" w:pos="1639"/>
        </w:tabs>
        <w:jc w:val="both"/>
      </w:pPr>
      <w:r>
        <w:t>Circumstances in Which C</w:t>
      </w:r>
      <w:r w:rsidR="009F37FD">
        <w:t xml:space="preserve">harges </w:t>
      </w:r>
      <w:r>
        <w:t>M</w:t>
      </w:r>
      <w:r w:rsidR="009F37FD">
        <w:t>ay be</w:t>
      </w:r>
      <w:r w:rsidR="009F37FD">
        <w:rPr>
          <w:spacing w:val="-11"/>
        </w:rPr>
        <w:t xml:space="preserve"> </w:t>
      </w:r>
      <w:r>
        <w:t>M</w:t>
      </w:r>
      <w:r w:rsidR="009F37FD">
        <w:t>ade</w:t>
      </w:r>
    </w:p>
    <w:p w14:paraId="08481512" w14:textId="77777777" w:rsidR="00130247" w:rsidRDefault="00130247" w:rsidP="006D724E">
      <w:pPr>
        <w:pStyle w:val="Heading1"/>
        <w:jc w:val="both"/>
        <w:rPr>
          <w:sz w:val="22"/>
          <w:szCs w:val="22"/>
        </w:rPr>
      </w:pPr>
      <w:bookmarkStart w:id="6" w:name="_Toc413162163"/>
    </w:p>
    <w:p w14:paraId="52BFCD83" w14:textId="729547BE" w:rsidR="006D724E" w:rsidRPr="0017132A" w:rsidRDefault="00A314CE" w:rsidP="006D724E">
      <w:pPr>
        <w:pStyle w:val="Heading1"/>
        <w:jc w:val="both"/>
        <w:rPr>
          <w:sz w:val="22"/>
          <w:szCs w:val="22"/>
        </w:rPr>
      </w:pPr>
      <w:r>
        <w:rPr>
          <w:sz w:val="22"/>
          <w:szCs w:val="22"/>
        </w:rPr>
        <w:t>6.2.1</w:t>
      </w:r>
      <w:r>
        <w:rPr>
          <w:sz w:val="22"/>
          <w:szCs w:val="22"/>
        </w:rPr>
        <w:tab/>
        <w:t xml:space="preserve">Premature Retirement Costs </w:t>
      </w:r>
      <w:r w:rsidR="001C768A">
        <w:rPr>
          <w:sz w:val="22"/>
          <w:szCs w:val="22"/>
        </w:rPr>
        <w:t>without</w:t>
      </w:r>
      <w:r>
        <w:rPr>
          <w:sz w:val="22"/>
          <w:szCs w:val="22"/>
        </w:rPr>
        <w:t xml:space="preserve"> Prior Written C</w:t>
      </w:r>
      <w:r w:rsidR="009F37FD" w:rsidRPr="0017132A">
        <w:rPr>
          <w:sz w:val="22"/>
          <w:szCs w:val="22"/>
        </w:rPr>
        <w:t>onsent</w:t>
      </w:r>
      <w:bookmarkEnd w:id="6"/>
    </w:p>
    <w:p w14:paraId="52BFCD84" w14:textId="77777777" w:rsidR="006D724E" w:rsidRDefault="009F37FD" w:rsidP="00610345">
      <w:pPr>
        <w:pStyle w:val="BodyText"/>
        <w:ind w:left="919" w:right="1134"/>
        <w:jc w:val="both"/>
      </w:pPr>
      <w:r w:rsidRPr="0017132A">
        <w:t>Where premature retirement costs have been incurred without the prior written agreement of the Authority to bear such costs (the amount chargeable being only the excess over any amount agreed by the Authority);</w:t>
      </w:r>
    </w:p>
    <w:p w14:paraId="52BFCD85" w14:textId="77777777" w:rsidR="006D724E" w:rsidRPr="0017132A" w:rsidRDefault="006D724E" w:rsidP="006D724E">
      <w:pPr>
        <w:pStyle w:val="BodyText"/>
        <w:ind w:left="919" w:right="1134"/>
        <w:jc w:val="both"/>
      </w:pPr>
    </w:p>
    <w:p w14:paraId="52BFCD86" w14:textId="72EF2277" w:rsidR="006D724E" w:rsidRPr="0017132A" w:rsidRDefault="00A314CE" w:rsidP="006D724E">
      <w:pPr>
        <w:pStyle w:val="Heading1"/>
        <w:jc w:val="both"/>
        <w:rPr>
          <w:sz w:val="22"/>
          <w:szCs w:val="22"/>
        </w:rPr>
      </w:pPr>
      <w:bookmarkStart w:id="7" w:name="_Toc413162164"/>
      <w:r>
        <w:rPr>
          <w:sz w:val="22"/>
          <w:szCs w:val="22"/>
        </w:rPr>
        <w:t>6.2.2</w:t>
      </w:r>
      <w:r>
        <w:rPr>
          <w:sz w:val="22"/>
          <w:szCs w:val="22"/>
        </w:rPr>
        <w:tab/>
        <w:t>Expenditure Incurred to Secure R</w:t>
      </w:r>
      <w:r w:rsidR="009F37FD" w:rsidRPr="0017132A">
        <w:rPr>
          <w:sz w:val="22"/>
          <w:szCs w:val="22"/>
        </w:rPr>
        <w:t>esignations</w:t>
      </w:r>
      <w:bookmarkEnd w:id="7"/>
    </w:p>
    <w:p w14:paraId="52BFCD87" w14:textId="77777777" w:rsidR="006D724E" w:rsidRDefault="009F37FD" w:rsidP="00610345">
      <w:pPr>
        <w:pStyle w:val="BodyText"/>
        <w:ind w:left="919" w:right="1134"/>
        <w:jc w:val="both"/>
      </w:pPr>
      <w:r w:rsidRPr="0017132A">
        <w:t>Other expenditure incurred to secure resignations where the school had not followed Authority advice;</w:t>
      </w:r>
    </w:p>
    <w:p w14:paraId="52BFCD88" w14:textId="77777777" w:rsidR="006D724E" w:rsidRPr="0017132A" w:rsidRDefault="006D724E" w:rsidP="006D724E">
      <w:pPr>
        <w:pStyle w:val="BodyText"/>
        <w:ind w:left="919" w:right="1134"/>
        <w:jc w:val="both"/>
      </w:pPr>
    </w:p>
    <w:p w14:paraId="52BFCD89" w14:textId="43FFA945" w:rsidR="006D724E" w:rsidRPr="0017132A" w:rsidRDefault="00A314CE" w:rsidP="006D724E">
      <w:pPr>
        <w:pStyle w:val="Heading1"/>
        <w:jc w:val="both"/>
        <w:rPr>
          <w:sz w:val="22"/>
          <w:szCs w:val="22"/>
        </w:rPr>
      </w:pPr>
      <w:bookmarkStart w:id="8" w:name="_Toc413162165"/>
      <w:r>
        <w:rPr>
          <w:sz w:val="22"/>
          <w:szCs w:val="22"/>
        </w:rPr>
        <w:t>6.2.3</w:t>
      </w:r>
      <w:r>
        <w:rPr>
          <w:sz w:val="22"/>
          <w:szCs w:val="22"/>
        </w:rPr>
        <w:tab/>
        <w:t>Awards by Courts and Industrial T</w:t>
      </w:r>
      <w:r w:rsidR="009F37FD" w:rsidRPr="0017132A">
        <w:rPr>
          <w:sz w:val="22"/>
          <w:szCs w:val="22"/>
        </w:rPr>
        <w:t>ribunals</w:t>
      </w:r>
      <w:bookmarkEnd w:id="8"/>
    </w:p>
    <w:p w14:paraId="52BFCD8A" w14:textId="0920B310" w:rsidR="006D724E" w:rsidRPr="0017132A" w:rsidRDefault="009F37FD" w:rsidP="00610345">
      <w:pPr>
        <w:pStyle w:val="BodyText"/>
        <w:ind w:left="919" w:right="1134"/>
        <w:jc w:val="both"/>
      </w:pPr>
      <w:r w:rsidRPr="0017132A">
        <w:t>Awards by courts and industrial tribunals against the Authority, or out of court settlements, arising from action or inaction by the governing body contrary to the Authority’s advice</w:t>
      </w:r>
      <w:r w:rsidR="001C768A">
        <w:t>;</w:t>
      </w:r>
    </w:p>
    <w:p w14:paraId="63EE285A" w14:textId="77777777" w:rsidR="001C768A" w:rsidRDefault="001C768A" w:rsidP="00610345">
      <w:pPr>
        <w:pStyle w:val="BodyText"/>
        <w:ind w:left="919" w:right="1134"/>
        <w:jc w:val="both"/>
      </w:pPr>
    </w:p>
    <w:p w14:paraId="52BFCD8B" w14:textId="35B361B1" w:rsidR="006D724E" w:rsidRDefault="009F37FD" w:rsidP="00610345">
      <w:pPr>
        <w:pStyle w:val="BodyText"/>
        <w:ind w:left="919" w:right="1134"/>
        <w:jc w:val="both"/>
      </w:pPr>
      <w:r w:rsidRPr="0017132A">
        <w:lastRenderedPageBreak/>
        <w:t>Awards may sometimes be against the governing body directly and would fall to be met from the budget share.  Where t</w:t>
      </w:r>
      <w:r w:rsidR="001C768A">
        <w:t xml:space="preserve">he Authority is joined with the governing </w:t>
      </w:r>
      <w:r w:rsidR="00BA5065">
        <w:t>b</w:t>
      </w:r>
      <w:r w:rsidR="00BA5065" w:rsidRPr="0017132A">
        <w:t>ody</w:t>
      </w:r>
      <w:r w:rsidRPr="0017132A">
        <w:t xml:space="preserve"> in the action and has expenditure </w:t>
      </w:r>
      <w:proofErr w:type="gramStart"/>
      <w:r w:rsidRPr="0017132A">
        <w:t>as a result of</w:t>
      </w:r>
      <w:proofErr w:type="gramEnd"/>
      <w:r w:rsidRPr="0017132A">
        <w:t xml:space="preserve"> the Governing Body not taking Authority advice, the charging of the budget share with the Authority expenditure pro</w:t>
      </w:r>
      <w:r w:rsidR="00BA5065">
        <w:t>tects the Authority's position</w:t>
      </w:r>
    </w:p>
    <w:p w14:paraId="52BFCD8C" w14:textId="77777777" w:rsidR="006D724E" w:rsidRPr="0017132A" w:rsidRDefault="006D724E" w:rsidP="006D724E">
      <w:pPr>
        <w:pStyle w:val="BodyText"/>
        <w:ind w:left="919" w:right="1134"/>
        <w:jc w:val="both"/>
      </w:pPr>
    </w:p>
    <w:p w14:paraId="52BFCD8D" w14:textId="310C5300" w:rsidR="006D724E" w:rsidRPr="0017132A" w:rsidRDefault="00A314CE" w:rsidP="006D724E">
      <w:pPr>
        <w:pStyle w:val="Heading1"/>
        <w:jc w:val="both"/>
        <w:rPr>
          <w:sz w:val="22"/>
          <w:szCs w:val="22"/>
        </w:rPr>
      </w:pPr>
      <w:bookmarkStart w:id="9" w:name="_Toc413162166"/>
      <w:r>
        <w:rPr>
          <w:sz w:val="22"/>
          <w:szCs w:val="22"/>
        </w:rPr>
        <w:t>6.2.4</w:t>
      </w:r>
      <w:r>
        <w:rPr>
          <w:sz w:val="22"/>
          <w:szCs w:val="22"/>
        </w:rPr>
        <w:tab/>
        <w:t>Expenditure for H</w:t>
      </w:r>
      <w:r w:rsidR="009F37FD" w:rsidRPr="0017132A">
        <w:rPr>
          <w:sz w:val="22"/>
          <w:szCs w:val="22"/>
        </w:rPr>
        <w:t xml:space="preserve">ealth and </w:t>
      </w:r>
      <w:r>
        <w:rPr>
          <w:sz w:val="22"/>
          <w:szCs w:val="22"/>
        </w:rPr>
        <w:t>Safety or Capital W</w:t>
      </w:r>
      <w:r w:rsidR="009F37FD" w:rsidRPr="0017132A">
        <w:rPr>
          <w:sz w:val="22"/>
          <w:szCs w:val="22"/>
        </w:rPr>
        <w:t>orks</w:t>
      </w:r>
      <w:bookmarkEnd w:id="9"/>
    </w:p>
    <w:p w14:paraId="52BFCD8E" w14:textId="4989C41D" w:rsidR="006D724E" w:rsidRDefault="009F37FD" w:rsidP="006D724E">
      <w:pPr>
        <w:pStyle w:val="BodyText"/>
        <w:ind w:left="919" w:right="1134"/>
        <w:jc w:val="both"/>
      </w:pPr>
      <w:r w:rsidRPr="0017132A">
        <w:t>Expenditure by the Authority in carrying out health and safety work or capital expenditure for which the Authority is liable where funds have been delegated to the Governi</w:t>
      </w:r>
      <w:r w:rsidR="001C768A">
        <w:t>ng Body for such work, but the governing b</w:t>
      </w:r>
      <w:r w:rsidRPr="0017132A">
        <w:t xml:space="preserve">ody has failed to carry out the required work; </w:t>
      </w:r>
    </w:p>
    <w:p w14:paraId="52BFCD8F" w14:textId="77777777" w:rsidR="006D724E" w:rsidRPr="0017132A" w:rsidRDefault="006D724E" w:rsidP="006D724E">
      <w:pPr>
        <w:pStyle w:val="BodyText"/>
        <w:ind w:left="919" w:right="1134"/>
        <w:jc w:val="both"/>
      </w:pPr>
    </w:p>
    <w:p w14:paraId="52BFCD90" w14:textId="1D262503" w:rsidR="006D724E" w:rsidRPr="0017132A" w:rsidRDefault="00A314CE" w:rsidP="006D724E">
      <w:pPr>
        <w:pStyle w:val="Heading1"/>
        <w:jc w:val="both"/>
        <w:rPr>
          <w:sz w:val="22"/>
          <w:szCs w:val="22"/>
        </w:rPr>
      </w:pPr>
      <w:bookmarkStart w:id="10" w:name="_Toc413162167"/>
      <w:r>
        <w:rPr>
          <w:sz w:val="22"/>
          <w:szCs w:val="22"/>
        </w:rPr>
        <w:t>6.2.5</w:t>
      </w:r>
      <w:r>
        <w:rPr>
          <w:sz w:val="22"/>
          <w:szCs w:val="22"/>
        </w:rPr>
        <w:tab/>
        <w:t>Expenditure I</w:t>
      </w:r>
      <w:r w:rsidR="009F37FD" w:rsidRPr="0017132A">
        <w:rPr>
          <w:sz w:val="22"/>
          <w:szCs w:val="22"/>
        </w:rPr>
        <w:t xml:space="preserve">ncurred in </w:t>
      </w:r>
      <w:r>
        <w:rPr>
          <w:sz w:val="22"/>
          <w:szCs w:val="22"/>
        </w:rPr>
        <w:t>Making Good D</w:t>
      </w:r>
      <w:r w:rsidR="009F37FD" w:rsidRPr="0017132A">
        <w:rPr>
          <w:sz w:val="22"/>
          <w:szCs w:val="22"/>
        </w:rPr>
        <w:t>efects</w:t>
      </w:r>
      <w:bookmarkEnd w:id="10"/>
    </w:p>
    <w:p w14:paraId="52BFCD91" w14:textId="77777777" w:rsidR="006D724E" w:rsidRDefault="009F37FD" w:rsidP="006D724E">
      <w:pPr>
        <w:pStyle w:val="BodyText"/>
        <w:ind w:left="919" w:right="1134"/>
        <w:jc w:val="both"/>
      </w:pPr>
      <w:r w:rsidRPr="00274AE2">
        <w:t>Expenditure by the Authority incurred in making good defects in building work funded by capital spending from budget shares, where the premises are owned by the Authority or the school has voluntary controlled status</w:t>
      </w:r>
      <w:r w:rsidRPr="0017132A">
        <w:t>;</w:t>
      </w:r>
    </w:p>
    <w:p w14:paraId="52BFCD92" w14:textId="77777777" w:rsidR="006D724E" w:rsidRPr="0017132A" w:rsidRDefault="006D724E" w:rsidP="006D724E">
      <w:pPr>
        <w:pStyle w:val="BodyText"/>
        <w:ind w:left="919" w:right="1134"/>
        <w:jc w:val="both"/>
      </w:pPr>
    </w:p>
    <w:p w14:paraId="52BFCD93" w14:textId="7A520811" w:rsidR="006D724E" w:rsidRPr="0017132A" w:rsidRDefault="00A314CE" w:rsidP="006D724E">
      <w:pPr>
        <w:pStyle w:val="Heading1"/>
        <w:jc w:val="both"/>
        <w:rPr>
          <w:sz w:val="22"/>
          <w:szCs w:val="22"/>
        </w:rPr>
      </w:pPr>
      <w:bookmarkStart w:id="11" w:name="_Toc413162168"/>
      <w:r>
        <w:rPr>
          <w:sz w:val="22"/>
          <w:szCs w:val="22"/>
        </w:rPr>
        <w:t>6.2.6</w:t>
      </w:r>
      <w:r>
        <w:rPr>
          <w:sz w:val="22"/>
          <w:szCs w:val="22"/>
        </w:rPr>
        <w:tab/>
        <w:t>Insurance E</w:t>
      </w:r>
      <w:r w:rsidR="009F37FD" w:rsidRPr="0017132A">
        <w:rPr>
          <w:sz w:val="22"/>
          <w:szCs w:val="22"/>
        </w:rPr>
        <w:t>xpenditure</w:t>
      </w:r>
      <w:bookmarkEnd w:id="11"/>
    </w:p>
    <w:p w14:paraId="52BFCD94" w14:textId="77777777" w:rsidR="006D724E" w:rsidRDefault="009F37FD" w:rsidP="006D724E">
      <w:pPr>
        <w:pStyle w:val="BodyText"/>
        <w:ind w:left="919" w:right="1134"/>
        <w:jc w:val="both"/>
      </w:pPr>
      <w:r w:rsidRPr="0017132A">
        <w:t xml:space="preserve">Expenditure incurred by the Authority in </w:t>
      </w:r>
      <w:proofErr w:type="gramStart"/>
      <w:r w:rsidRPr="0017132A">
        <w:t>insuring</w:t>
      </w:r>
      <w:proofErr w:type="gramEnd"/>
      <w:r w:rsidRPr="0017132A">
        <w:t xml:space="preserve"> its own interests in a school where funding has been delegated but the school has failed to demonstrate that it has arranged cover at least as good as that which would be arranged by the Authority;</w:t>
      </w:r>
    </w:p>
    <w:p w14:paraId="04AC8C46" w14:textId="77777777" w:rsidR="00EE7C68" w:rsidRDefault="00EE7C68" w:rsidP="006D724E">
      <w:pPr>
        <w:pStyle w:val="Heading1"/>
        <w:jc w:val="both"/>
        <w:rPr>
          <w:sz w:val="22"/>
          <w:szCs w:val="22"/>
        </w:rPr>
      </w:pPr>
      <w:bookmarkStart w:id="12" w:name="_Toc413162169"/>
    </w:p>
    <w:p w14:paraId="52BFCD96" w14:textId="73935B51" w:rsidR="006D724E" w:rsidRPr="0017132A" w:rsidRDefault="00A314CE" w:rsidP="006D724E">
      <w:pPr>
        <w:pStyle w:val="Heading1"/>
        <w:jc w:val="both"/>
        <w:rPr>
          <w:sz w:val="22"/>
          <w:szCs w:val="22"/>
        </w:rPr>
      </w:pPr>
      <w:r>
        <w:rPr>
          <w:sz w:val="22"/>
          <w:szCs w:val="22"/>
        </w:rPr>
        <w:t>6.2.7</w:t>
      </w:r>
      <w:r>
        <w:rPr>
          <w:sz w:val="22"/>
          <w:szCs w:val="22"/>
        </w:rPr>
        <w:tab/>
        <w:t>Recovery of M</w:t>
      </w:r>
      <w:r w:rsidR="009F37FD" w:rsidRPr="0017132A">
        <w:rPr>
          <w:sz w:val="22"/>
          <w:szCs w:val="22"/>
        </w:rPr>
        <w:t>onies i</w:t>
      </w:r>
      <w:r>
        <w:rPr>
          <w:sz w:val="22"/>
          <w:szCs w:val="22"/>
        </w:rPr>
        <w:t>n Relation to Services Provided to the S</w:t>
      </w:r>
      <w:r w:rsidR="009F37FD" w:rsidRPr="0017132A">
        <w:rPr>
          <w:sz w:val="22"/>
          <w:szCs w:val="22"/>
        </w:rPr>
        <w:t>chool</w:t>
      </w:r>
      <w:bookmarkEnd w:id="12"/>
    </w:p>
    <w:p w14:paraId="52BFCD97" w14:textId="77777777" w:rsidR="006D724E" w:rsidRDefault="009F37FD" w:rsidP="006D724E">
      <w:pPr>
        <w:pStyle w:val="BodyText"/>
        <w:ind w:left="919" w:right="1134"/>
        <w:jc w:val="both"/>
      </w:pPr>
      <w:r w:rsidRPr="0017132A">
        <w:t>Recovery of monies due from a school for services provided to the school, where a dispute over the monies due has been referred to a disputes procedure set out in a service level agreement, and the result is that monies are owed by the school to the Authority;</w:t>
      </w:r>
    </w:p>
    <w:p w14:paraId="52BFCD98" w14:textId="77777777" w:rsidR="006D724E" w:rsidRPr="0017132A" w:rsidRDefault="006D724E" w:rsidP="006D724E">
      <w:pPr>
        <w:pStyle w:val="BodyText"/>
        <w:ind w:left="919" w:right="1134"/>
        <w:jc w:val="both"/>
      </w:pPr>
    </w:p>
    <w:p w14:paraId="52BFCD99" w14:textId="1A2A544B" w:rsidR="006D724E" w:rsidRPr="0017132A" w:rsidRDefault="00A314CE" w:rsidP="006D724E">
      <w:pPr>
        <w:pStyle w:val="Heading1"/>
        <w:jc w:val="both"/>
        <w:rPr>
          <w:sz w:val="22"/>
          <w:szCs w:val="22"/>
        </w:rPr>
      </w:pPr>
      <w:bookmarkStart w:id="13" w:name="_Toc413162170"/>
      <w:r>
        <w:rPr>
          <w:sz w:val="22"/>
          <w:szCs w:val="22"/>
        </w:rPr>
        <w:t>6.2.8</w:t>
      </w:r>
      <w:r>
        <w:rPr>
          <w:sz w:val="22"/>
          <w:szCs w:val="22"/>
        </w:rPr>
        <w:tab/>
        <w:t>Recovery of Penalties from R</w:t>
      </w:r>
      <w:r w:rsidR="009F37FD" w:rsidRPr="0017132A">
        <w:rPr>
          <w:sz w:val="22"/>
          <w:szCs w:val="22"/>
        </w:rPr>
        <w:t xml:space="preserve">egulatory </w:t>
      </w:r>
      <w:r>
        <w:rPr>
          <w:sz w:val="22"/>
          <w:szCs w:val="22"/>
        </w:rPr>
        <w:t>A</w:t>
      </w:r>
      <w:r w:rsidR="009F37FD" w:rsidRPr="0017132A">
        <w:rPr>
          <w:sz w:val="22"/>
          <w:szCs w:val="22"/>
        </w:rPr>
        <w:t>uthorities</w:t>
      </w:r>
      <w:bookmarkEnd w:id="13"/>
    </w:p>
    <w:p w14:paraId="52BFCD9A" w14:textId="2C0FC946" w:rsidR="006D724E" w:rsidRDefault="009F37FD" w:rsidP="006D724E">
      <w:pPr>
        <w:pStyle w:val="BodyText"/>
        <w:ind w:left="919" w:right="1134"/>
        <w:jc w:val="both"/>
      </w:pPr>
      <w:r w:rsidRPr="0017132A">
        <w:t xml:space="preserve">Recovery of penalties imposed on the </w:t>
      </w:r>
      <w:r w:rsidR="001C768A">
        <w:t>A</w:t>
      </w:r>
      <w:r w:rsidRPr="0017132A">
        <w:t xml:space="preserve">uthority by the Board of Inland Revenue, the Contributions Agency, HM Revenue and Customs, Teachers’ Pensions, the Environment Agency or other regulatory authorities </w:t>
      </w:r>
      <w:proofErr w:type="gramStart"/>
      <w:r w:rsidRPr="0017132A">
        <w:t>as a result of</w:t>
      </w:r>
      <w:proofErr w:type="gramEnd"/>
      <w:r w:rsidRPr="0017132A">
        <w:t xml:space="preserve"> school negligence.</w:t>
      </w:r>
    </w:p>
    <w:p w14:paraId="52BFCD9B" w14:textId="77777777" w:rsidR="006D724E" w:rsidRPr="0017132A" w:rsidRDefault="006D724E" w:rsidP="006D724E">
      <w:pPr>
        <w:pStyle w:val="BodyText"/>
        <w:ind w:left="919" w:right="1134"/>
        <w:jc w:val="both"/>
      </w:pPr>
    </w:p>
    <w:p w14:paraId="52BFCD9C" w14:textId="792D7E31" w:rsidR="006D724E" w:rsidRPr="0017132A" w:rsidRDefault="009F37FD" w:rsidP="006D724E">
      <w:pPr>
        <w:pStyle w:val="Heading1"/>
        <w:jc w:val="both"/>
        <w:rPr>
          <w:sz w:val="22"/>
          <w:szCs w:val="22"/>
        </w:rPr>
      </w:pPr>
      <w:bookmarkStart w:id="14" w:name="_Toc413162171"/>
      <w:r w:rsidRPr="0017132A">
        <w:rPr>
          <w:sz w:val="22"/>
          <w:szCs w:val="22"/>
        </w:rPr>
        <w:t>6.2.9</w:t>
      </w:r>
      <w:r w:rsidRPr="0017132A">
        <w:rPr>
          <w:sz w:val="22"/>
          <w:szCs w:val="22"/>
        </w:rPr>
        <w:tab/>
        <w:t xml:space="preserve">Correction of Authority </w:t>
      </w:r>
      <w:r w:rsidR="00A314CE">
        <w:rPr>
          <w:sz w:val="22"/>
          <w:szCs w:val="22"/>
        </w:rPr>
        <w:t>E</w:t>
      </w:r>
      <w:r w:rsidRPr="0017132A">
        <w:rPr>
          <w:sz w:val="22"/>
          <w:szCs w:val="22"/>
        </w:rPr>
        <w:t>rrors</w:t>
      </w:r>
      <w:bookmarkEnd w:id="14"/>
    </w:p>
    <w:p w14:paraId="52BFCD9D" w14:textId="77777777" w:rsidR="006D724E" w:rsidRDefault="009F37FD" w:rsidP="006D724E">
      <w:pPr>
        <w:pStyle w:val="BodyText"/>
        <w:ind w:left="919" w:right="1134"/>
        <w:jc w:val="both"/>
      </w:pPr>
      <w:r w:rsidRPr="0017132A">
        <w:t>Correction of Authority errors in calculating charges to a budget share (e.g. pension deductions).</w:t>
      </w:r>
    </w:p>
    <w:p w14:paraId="52BFCD9E" w14:textId="77777777" w:rsidR="006D724E" w:rsidRPr="0017132A" w:rsidRDefault="006D724E" w:rsidP="006D724E">
      <w:pPr>
        <w:pStyle w:val="BodyText"/>
        <w:ind w:left="919" w:right="1134"/>
        <w:jc w:val="both"/>
      </w:pPr>
    </w:p>
    <w:p w14:paraId="52BFCD9F" w14:textId="4F3C2D0C" w:rsidR="006D724E" w:rsidRPr="0017132A" w:rsidRDefault="009F37FD" w:rsidP="006D724E">
      <w:pPr>
        <w:pStyle w:val="Heading1"/>
        <w:jc w:val="both"/>
        <w:rPr>
          <w:sz w:val="22"/>
          <w:szCs w:val="22"/>
        </w:rPr>
      </w:pPr>
      <w:bookmarkStart w:id="15" w:name="_Toc413162172"/>
      <w:r w:rsidRPr="0017132A">
        <w:rPr>
          <w:sz w:val="22"/>
          <w:szCs w:val="22"/>
        </w:rPr>
        <w:t>6.2.10</w:t>
      </w:r>
      <w:r w:rsidRPr="0017132A">
        <w:rPr>
          <w:sz w:val="22"/>
          <w:szCs w:val="22"/>
        </w:rPr>
        <w:tab/>
        <w:t xml:space="preserve">Additional </w:t>
      </w:r>
      <w:r w:rsidR="00A314CE">
        <w:rPr>
          <w:sz w:val="22"/>
          <w:szCs w:val="22"/>
        </w:rPr>
        <w:t>T</w:t>
      </w:r>
      <w:r w:rsidRPr="0017132A">
        <w:rPr>
          <w:sz w:val="22"/>
          <w:szCs w:val="22"/>
        </w:rPr>
        <w:t xml:space="preserve">ransport </w:t>
      </w:r>
      <w:r w:rsidR="00A314CE">
        <w:rPr>
          <w:sz w:val="22"/>
          <w:szCs w:val="22"/>
        </w:rPr>
        <w:t>C</w:t>
      </w:r>
      <w:r w:rsidRPr="0017132A">
        <w:rPr>
          <w:sz w:val="22"/>
          <w:szCs w:val="22"/>
        </w:rPr>
        <w:t>osts</w:t>
      </w:r>
      <w:bookmarkEnd w:id="15"/>
    </w:p>
    <w:p w14:paraId="52BFCDA0" w14:textId="77777777" w:rsidR="006D724E" w:rsidRDefault="009F37FD" w:rsidP="006D724E">
      <w:pPr>
        <w:pStyle w:val="BodyText"/>
        <w:ind w:left="919" w:right="1134"/>
        <w:jc w:val="both"/>
      </w:pPr>
      <w:r w:rsidRPr="0017132A">
        <w:t>Additional transport costs incurred by the Authority arising from decisions by the Governing Body on the length of the school day, or failure to notify the Authority of non-pupil days resulting in unnecessary transport costs.</w:t>
      </w:r>
    </w:p>
    <w:p w14:paraId="52BFCDA1" w14:textId="77777777" w:rsidR="006D724E" w:rsidRPr="0017132A" w:rsidRDefault="006D724E" w:rsidP="006D724E">
      <w:pPr>
        <w:pStyle w:val="BodyText"/>
        <w:ind w:left="919" w:right="1134"/>
        <w:jc w:val="both"/>
      </w:pPr>
    </w:p>
    <w:p w14:paraId="52BFCDA2" w14:textId="36D890E3" w:rsidR="006D724E" w:rsidRPr="0017132A" w:rsidRDefault="00A314CE" w:rsidP="006D724E">
      <w:pPr>
        <w:pStyle w:val="Heading1"/>
        <w:jc w:val="both"/>
        <w:rPr>
          <w:sz w:val="22"/>
          <w:szCs w:val="22"/>
        </w:rPr>
      </w:pPr>
      <w:bookmarkStart w:id="16" w:name="_Toc413162173"/>
      <w:r>
        <w:rPr>
          <w:sz w:val="22"/>
          <w:szCs w:val="22"/>
        </w:rPr>
        <w:t>6.2.11</w:t>
      </w:r>
      <w:r>
        <w:rPr>
          <w:sz w:val="22"/>
          <w:szCs w:val="22"/>
        </w:rPr>
        <w:tab/>
        <w:t>Legal C</w:t>
      </w:r>
      <w:r w:rsidR="009F37FD" w:rsidRPr="0017132A">
        <w:rPr>
          <w:sz w:val="22"/>
          <w:szCs w:val="22"/>
        </w:rPr>
        <w:t>ost</w:t>
      </w:r>
      <w:bookmarkEnd w:id="16"/>
      <w:r>
        <w:rPr>
          <w:sz w:val="22"/>
          <w:szCs w:val="22"/>
        </w:rPr>
        <w:t>s</w:t>
      </w:r>
    </w:p>
    <w:p w14:paraId="52BFCDA3" w14:textId="77777777" w:rsidR="006D724E" w:rsidRDefault="009F37FD" w:rsidP="006D724E">
      <w:pPr>
        <w:pStyle w:val="BodyText"/>
        <w:ind w:left="919" w:right="1134"/>
        <w:jc w:val="both"/>
      </w:pPr>
      <w:r w:rsidRPr="0017132A">
        <w:t>Legal costs which are incurred by the Authority because the governing body did not accept the advice of the Authority (see also section 11.4).</w:t>
      </w:r>
    </w:p>
    <w:p w14:paraId="52BFCDA4" w14:textId="77777777" w:rsidR="006D724E" w:rsidRPr="0017132A" w:rsidRDefault="006D724E" w:rsidP="006D724E">
      <w:pPr>
        <w:pStyle w:val="BodyText"/>
        <w:ind w:left="919" w:right="1134"/>
        <w:jc w:val="both"/>
      </w:pPr>
    </w:p>
    <w:p w14:paraId="52BFCDA5" w14:textId="2B60A9CF" w:rsidR="006D724E" w:rsidRPr="0017132A" w:rsidRDefault="009F37FD" w:rsidP="006D724E">
      <w:pPr>
        <w:pStyle w:val="Heading1"/>
        <w:jc w:val="both"/>
        <w:rPr>
          <w:sz w:val="22"/>
          <w:szCs w:val="22"/>
        </w:rPr>
      </w:pPr>
      <w:bookmarkStart w:id="17" w:name="_Toc413162174"/>
      <w:r w:rsidRPr="0017132A">
        <w:rPr>
          <w:sz w:val="22"/>
          <w:szCs w:val="22"/>
        </w:rPr>
        <w:t>6.2.12</w:t>
      </w:r>
      <w:r w:rsidRPr="0017132A">
        <w:rPr>
          <w:sz w:val="22"/>
          <w:szCs w:val="22"/>
        </w:rPr>
        <w:tab/>
        <w:t xml:space="preserve">Costs of </w:t>
      </w:r>
      <w:r w:rsidR="00A314CE">
        <w:rPr>
          <w:sz w:val="22"/>
          <w:szCs w:val="22"/>
        </w:rPr>
        <w:t>H</w:t>
      </w:r>
      <w:r w:rsidRPr="0017132A">
        <w:rPr>
          <w:sz w:val="22"/>
          <w:szCs w:val="22"/>
        </w:rPr>
        <w:t xml:space="preserve">ealth and </w:t>
      </w:r>
      <w:r w:rsidR="00A314CE">
        <w:rPr>
          <w:sz w:val="22"/>
          <w:szCs w:val="22"/>
        </w:rPr>
        <w:t>S</w:t>
      </w:r>
      <w:r w:rsidRPr="0017132A">
        <w:rPr>
          <w:sz w:val="22"/>
          <w:szCs w:val="22"/>
        </w:rPr>
        <w:t xml:space="preserve">afety </w:t>
      </w:r>
      <w:r w:rsidR="00A314CE">
        <w:rPr>
          <w:sz w:val="22"/>
          <w:szCs w:val="22"/>
        </w:rPr>
        <w:t>T</w:t>
      </w:r>
      <w:r w:rsidRPr="0017132A">
        <w:rPr>
          <w:sz w:val="22"/>
          <w:szCs w:val="22"/>
        </w:rPr>
        <w:t>raining</w:t>
      </w:r>
      <w:bookmarkEnd w:id="17"/>
    </w:p>
    <w:p w14:paraId="52BFCDA6" w14:textId="47827950" w:rsidR="006D724E" w:rsidRDefault="009F37FD" w:rsidP="00610345">
      <w:pPr>
        <w:pStyle w:val="BodyText"/>
        <w:ind w:left="919" w:right="1134"/>
        <w:jc w:val="both"/>
      </w:pPr>
      <w:r w:rsidRPr="0017132A">
        <w:t xml:space="preserve">Costs of necessary health and safety training for staff employed by the Authority, where funding for training had been delegated but the necessary training </w:t>
      </w:r>
      <w:r w:rsidR="001C768A">
        <w:t>has not been</w:t>
      </w:r>
      <w:r w:rsidRPr="0017132A">
        <w:t xml:space="preserve"> carried out.</w:t>
      </w:r>
    </w:p>
    <w:p w14:paraId="52BFCDA7" w14:textId="77777777" w:rsidR="006D724E" w:rsidRPr="0017132A" w:rsidRDefault="006D724E" w:rsidP="006D724E">
      <w:pPr>
        <w:pStyle w:val="BodyText"/>
        <w:ind w:left="919" w:right="1134"/>
        <w:jc w:val="both"/>
      </w:pPr>
    </w:p>
    <w:p w14:paraId="52BFCDA8" w14:textId="32A59C03" w:rsidR="006D724E" w:rsidRPr="0017132A" w:rsidRDefault="00A314CE" w:rsidP="006D724E">
      <w:pPr>
        <w:pStyle w:val="Heading1"/>
        <w:jc w:val="both"/>
        <w:rPr>
          <w:sz w:val="22"/>
          <w:szCs w:val="22"/>
        </w:rPr>
      </w:pPr>
      <w:bookmarkStart w:id="18" w:name="_Toc413162175"/>
      <w:r>
        <w:rPr>
          <w:sz w:val="22"/>
          <w:szCs w:val="22"/>
        </w:rPr>
        <w:t>6.2.13</w:t>
      </w:r>
      <w:r>
        <w:rPr>
          <w:sz w:val="22"/>
          <w:szCs w:val="22"/>
        </w:rPr>
        <w:tab/>
        <w:t>Compensation Paid to a L</w:t>
      </w:r>
      <w:r w:rsidR="009F37FD" w:rsidRPr="0017132A">
        <w:rPr>
          <w:sz w:val="22"/>
          <w:szCs w:val="22"/>
        </w:rPr>
        <w:t>ender</w:t>
      </w:r>
      <w:bookmarkEnd w:id="18"/>
    </w:p>
    <w:p w14:paraId="52BFCDA9" w14:textId="77777777" w:rsidR="006D724E" w:rsidRDefault="009F37FD" w:rsidP="006D724E">
      <w:pPr>
        <w:pStyle w:val="BodyText"/>
        <w:ind w:left="919" w:right="1134"/>
        <w:jc w:val="both"/>
      </w:pPr>
      <w:r w:rsidRPr="0017132A">
        <w:t xml:space="preserve">Compensation paid to a lender where a school </w:t>
      </w:r>
      <w:proofErr w:type="gramStart"/>
      <w:r w:rsidRPr="0017132A">
        <w:t>enters into</w:t>
      </w:r>
      <w:proofErr w:type="gramEnd"/>
      <w:r w:rsidRPr="0017132A">
        <w:t xml:space="preserve"> a contract for borrowing beyond its legal powers, and the contract is of no effect.</w:t>
      </w:r>
    </w:p>
    <w:p w14:paraId="52BFCDAA" w14:textId="77777777" w:rsidR="006D724E" w:rsidRPr="0017132A" w:rsidRDefault="006D724E" w:rsidP="006D724E">
      <w:pPr>
        <w:pStyle w:val="BodyText"/>
        <w:ind w:left="919" w:right="1134"/>
        <w:jc w:val="both"/>
      </w:pPr>
    </w:p>
    <w:p w14:paraId="52BFCDAB" w14:textId="41F0D9F0" w:rsidR="006D724E" w:rsidRPr="0017132A" w:rsidRDefault="00A314CE" w:rsidP="006D724E">
      <w:pPr>
        <w:pStyle w:val="Heading1"/>
        <w:jc w:val="both"/>
        <w:rPr>
          <w:sz w:val="22"/>
          <w:szCs w:val="22"/>
        </w:rPr>
      </w:pPr>
      <w:bookmarkStart w:id="19" w:name="_Toc413162176"/>
      <w:r>
        <w:rPr>
          <w:sz w:val="22"/>
          <w:szCs w:val="22"/>
        </w:rPr>
        <w:t>6.2.14</w:t>
      </w:r>
      <w:r>
        <w:rPr>
          <w:sz w:val="22"/>
          <w:szCs w:val="22"/>
        </w:rPr>
        <w:tab/>
        <w:t>Cost of W</w:t>
      </w:r>
      <w:r w:rsidR="009F37FD" w:rsidRPr="0017132A">
        <w:rPr>
          <w:sz w:val="22"/>
          <w:szCs w:val="22"/>
        </w:rPr>
        <w:t xml:space="preserve">ork </w:t>
      </w:r>
      <w:r>
        <w:rPr>
          <w:sz w:val="22"/>
          <w:szCs w:val="22"/>
        </w:rPr>
        <w:t>Done in Respect of Teacher Pension Remittance and R</w:t>
      </w:r>
      <w:r w:rsidR="009F37FD" w:rsidRPr="0017132A">
        <w:rPr>
          <w:sz w:val="22"/>
          <w:szCs w:val="22"/>
        </w:rPr>
        <w:t>ecords</w:t>
      </w:r>
      <w:bookmarkEnd w:id="19"/>
    </w:p>
    <w:p w14:paraId="52BFCDAC" w14:textId="77777777" w:rsidR="006D724E" w:rsidRDefault="009F37FD" w:rsidP="006D724E">
      <w:pPr>
        <w:pStyle w:val="BodyText"/>
        <w:ind w:left="919" w:right="1134"/>
        <w:jc w:val="both"/>
      </w:pPr>
      <w:r w:rsidRPr="0017132A">
        <w:t>Cost of work done in respect of teacher pension remittance and records for schools using non-Authority payroll contractors, the charge to be the minimum needed to meet the cost of the Authority’s compliance with its statutory obligations;</w:t>
      </w:r>
    </w:p>
    <w:p w14:paraId="52BFCDAD" w14:textId="77777777" w:rsidR="006D724E" w:rsidRPr="0017132A" w:rsidRDefault="006D724E" w:rsidP="006D724E">
      <w:pPr>
        <w:pStyle w:val="BodyText"/>
        <w:ind w:left="919" w:right="1134"/>
        <w:jc w:val="both"/>
      </w:pPr>
    </w:p>
    <w:p w14:paraId="52BFCDAE" w14:textId="543332AB" w:rsidR="006D724E" w:rsidRPr="0017132A" w:rsidRDefault="00A314CE" w:rsidP="006D724E">
      <w:pPr>
        <w:pStyle w:val="Heading1"/>
        <w:jc w:val="both"/>
        <w:rPr>
          <w:sz w:val="22"/>
          <w:szCs w:val="22"/>
        </w:rPr>
      </w:pPr>
      <w:bookmarkStart w:id="20" w:name="_Toc413162177"/>
      <w:r>
        <w:rPr>
          <w:sz w:val="22"/>
          <w:szCs w:val="22"/>
        </w:rPr>
        <w:t>6.2.15</w:t>
      </w:r>
      <w:r>
        <w:rPr>
          <w:sz w:val="22"/>
          <w:szCs w:val="22"/>
        </w:rPr>
        <w:tab/>
        <w:t>Costs Incurred in S</w:t>
      </w:r>
      <w:r w:rsidR="009F37FD" w:rsidRPr="0017132A">
        <w:rPr>
          <w:sz w:val="22"/>
          <w:szCs w:val="22"/>
        </w:rPr>
        <w:t xml:space="preserve">ecuring </w:t>
      </w:r>
      <w:r>
        <w:rPr>
          <w:sz w:val="22"/>
          <w:szCs w:val="22"/>
        </w:rPr>
        <w:t>Provision Specified in a S</w:t>
      </w:r>
      <w:r w:rsidR="009F37FD" w:rsidRPr="0017132A">
        <w:rPr>
          <w:sz w:val="22"/>
          <w:szCs w:val="22"/>
        </w:rPr>
        <w:t>tatement of SEN</w:t>
      </w:r>
      <w:bookmarkEnd w:id="20"/>
      <w:r w:rsidR="009F37FD" w:rsidRPr="0017132A">
        <w:rPr>
          <w:sz w:val="22"/>
          <w:szCs w:val="22"/>
        </w:rPr>
        <w:t xml:space="preserve"> </w:t>
      </w:r>
    </w:p>
    <w:p w14:paraId="52BFCDAF" w14:textId="3C03C466" w:rsidR="006D724E" w:rsidRDefault="009F37FD" w:rsidP="006D724E">
      <w:pPr>
        <w:pStyle w:val="BodyText"/>
        <w:ind w:left="919" w:right="1134"/>
        <w:jc w:val="both"/>
      </w:pPr>
      <w:r w:rsidRPr="0017132A">
        <w:t xml:space="preserve">Costs incurred by the Authority in securing provision specified in a statement of SEN where the </w:t>
      </w:r>
      <w:r w:rsidR="001C768A">
        <w:t>governing b</w:t>
      </w:r>
      <w:r w:rsidRPr="0017132A">
        <w:t xml:space="preserve">ody of a school fails to secure such provision despite the delegation of funds in respect </w:t>
      </w:r>
      <w:r w:rsidRPr="0017132A">
        <w:lastRenderedPageBreak/>
        <w:t xml:space="preserve">of </w:t>
      </w:r>
      <w:proofErr w:type="gramStart"/>
      <w:r w:rsidRPr="0017132A">
        <w:t>low cost</w:t>
      </w:r>
      <w:proofErr w:type="gramEnd"/>
      <w:r w:rsidRPr="0017132A">
        <w:t xml:space="preserve"> high incidence SEN and/or specific funding for a pupil with High Needs; </w:t>
      </w:r>
    </w:p>
    <w:p w14:paraId="52BFCDB0" w14:textId="77777777" w:rsidR="006D724E" w:rsidRPr="0017132A" w:rsidRDefault="006D724E" w:rsidP="006D724E">
      <w:pPr>
        <w:pStyle w:val="BodyText"/>
        <w:ind w:left="919" w:right="1134"/>
        <w:jc w:val="both"/>
      </w:pPr>
    </w:p>
    <w:p w14:paraId="52BFCDB1" w14:textId="19A226FC" w:rsidR="006D724E" w:rsidRPr="0017132A" w:rsidRDefault="00A314CE" w:rsidP="006D724E">
      <w:pPr>
        <w:pStyle w:val="Heading1"/>
        <w:jc w:val="both"/>
        <w:rPr>
          <w:sz w:val="22"/>
          <w:szCs w:val="22"/>
        </w:rPr>
      </w:pPr>
      <w:bookmarkStart w:id="21" w:name="_Toc413162178"/>
      <w:r>
        <w:rPr>
          <w:sz w:val="22"/>
          <w:szCs w:val="22"/>
        </w:rPr>
        <w:t>6.2.16</w:t>
      </w:r>
      <w:r>
        <w:rPr>
          <w:sz w:val="22"/>
          <w:szCs w:val="22"/>
        </w:rPr>
        <w:tab/>
        <w:t>Costs I</w:t>
      </w:r>
      <w:r w:rsidR="009F37FD" w:rsidRPr="0017132A">
        <w:rPr>
          <w:sz w:val="22"/>
          <w:szCs w:val="22"/>
        </w:rPr>
        <w:t xml:space="preserve">ncurred </w:t>
      </w:r>
      <w:r>
        <w:rPr>
          <w:sz w:val="22"/>
          <w:szCs w:val="22"/>
        </w:rPr>
        <w:t>Due to Incorrect D</w:t>
      </w:r>
      <w:r w:rsidR="009F37FD" w:rsidRPr="0017132A">
        <w:rPr>
          <w:sz w:val="22"/>
          <w:szCs w:val="22"/>
        </w:rPr>
        <w:t>ata</w:t>
      </w:r>
      <w:bookmarkEnd w:id="21"/>
    </w:p>
    <w:p w14:paraId="52BFCDB2" w14:textId="77777777" w:rsidR="006D724E" w:rsidRDefault="009F37FD" w:rsidP="006D724E">
      <w:pPr>
        <w:pStyle w:val="BodyText"/>
        <w:ind w:left="919" w:right="1134"/>
        <w:jc w:val="both"/>
      </w:pPr>
      <w:r w:rsidRPr="0017132A">
        <w:t xml:space="preserve">Costs incurred by the Authority due to submission by the school of incorrect data; </w:t>
      </w:r>
    </w:p>
    <w:p w14:paraId="52BFCDB3" w14:textId="77777777" w:rsidR="006D724E" w:rsidRPr="0017132A" w:rsidRDefault="006D724E" w:rsidP="006D724E">
      <w:pPr>
        <w:pStyle w:val="BodyText"/>
        <w:ind w:left="919" w:right="1134"/>
        <w:jc w:val="both"/>
      </w:pPr>
    </w:p>
    <w:p w14:paraId="52BFCDB4" w14:textId="469A71D0" w:rsidR="006D724E" w:rsidRPr="0017132A" w:rsidRDefault="00A314CE" w:rsidP="006D724E">
      <w:pPr>
        <w:pStyle w:val="Heading1"/>
        <w:jc w:val="both"/>
        <w:rPr>
          <w:sz w:val="22"/>
          <w:szCs w:val="22"/>
        </w:rPr>
      </w:pPr>
      <w:bookmarkStart w:id="22" w:name="_Toc413162179"/>
      <w:r>
        <w:rPr>
          <w:sz w:val="22"/>
          <w:szCs w:val="22"/>
        </w:rPr>
        <w:t>6.2.17</w:t>
      </w:r>
      <w:r>
        <w:rPr>
          <w:sz w:val="22"/>
          <w:szCs w:val="22"/>
        </w:rPr>
        <w:tab/>
        <w:t>Recovery of Ineligible Grant E</w:t>
      </w:r>
      <w:r w:rsidR="009F37FD" w:rsidRPr="0017132A">
        <w:rPr>
          <w:sz w:val="22"/>
          <w:szCs w:val="22"/>
        </w:rPr>
        <w:t>xpenditure</w:t>
      </w:r>
      <w:bookmarkEnd w:id="22"/>
      <w:r w:rsidR="009F37FD" w:rsidRPr="0017132A">
        <w:rPr>
          <w:sz w:val="22"/>
          <w:szCs w:val="22"/>
        </w:rPr>
        <w:t xml:space="preserve"> </w:t>
      </w:r>
    </w:p>
    <w:p w14:paraId="52BFCDB5" w14:textId="77777777" w:rsidR="006D724E" w:rsidRDefault="009F37FD" w:rsidP="006D724E">
      <w:pPr>
        <w:pStyle w:val="BodyText"/>
        <w:ind w:left="919" w:right="1134"/>
        <w:jc w:val="both"/>
      </w:pPr>
      <w:r w:rsidRPr="00274AE2">
        <w:t>Recovery of amounts spent from specific grants on ineligible purposes</w:t>
      </w:r>
      <w:r w:rsidRPr="0017132A">
        <w:t xml:space="preserve">; </w:t>
      </w:r>
    </w:p>
    <w:p w14:paraId="52BFCDB6" w14:textId="77777777" w:rsidR="006D724E" w:rsidRPr="0017132A" w:rsidRDefault="006D724E" w:rsidP="006D724E">
      <w:pPr>
        <w:pStyle w:val="BodyText"/>
        <w:ind w:left="919" w:right="1134"/>
        <w:jc w:val="both"/>
      </w:pPr>
    </w:p>
    <w:p w14:paraId="52BFCDB7" w14:textId="4A0F9675" w:rsidR="006D724E" w:rsidRPr="0017132A" w:rsidRDefault="00A314CE" w:rsidP="006D724E">
      <w:pPr>
        <w:pStyle w:val="Heading1"/>
        <w:jc w:val="both"/>
        <w:rPr>
          <w:sz w:val="22"/>
          <w:szCs w:val="22"/>
        </w:rPr>
      </w:pPr>
      <w:bookmarkStart w:id="23" w:name="_Toc413162180"/>
      <w:r>
        <w:rPr>
          <w:sz w:val="22"/>
          <w:szCs w:val="22"/>
        </w:rPr>
        <w:t>6.2.18</w:t>
      </w:r>
      <w:r>
        <w:rPr>
          <w:sz w:val="22"/>
          <w:szCs w:val="22"/>
        </w:rPr>
        <w:tab/>
        <w:t>Costs I</w:t>
      </w:r>
      <w:r w:rsidR="009F37FD" w:rsidRPr="0017132A">
        <w:rPr>
          <w:sz w:val="22"/>
          <w:szCs w:val="22"/>
        </w:rPr>
        <w:t xml:space="preserve">ncurred </w:t>
      </w:r>
      <w:r>
        <w:rPr>
          <w:sz w:val="22"/>
          <w:szCs w:val="22"/>
        </w:rPr>
        <w:t>D</w:t>
      </w:r>
      <w:r w:rsidR="009F37FD" w:rsidRPr="0017132A">
        <w:rPr>
          <w:sz w:val="22"/>
          <w:szCs w:val="22"/>
        </w:rPr>
        <w:t xml:space="preserve">ue to </w:t>
      </w:r>
      <w:r>
        <w:rPr>
          <w:sz w:val="22"/>
          <w:szCs w:val="22"/>
        </w:rPr>
        <w:t>Breach of C</w:t>
      </w:r>
      <w:r w:rsidR="009F37FD" w:rsidRPr="0017132A">
        <w:rPr>
          <w:sz w:val="22"/>
          <w:szCs w:val="22"/>
        </w:rPr>
        <w:t>ontract</w:t>
      </w:r>
      <w:bookmarkEnd w:id="23"/>
    </w:p>
    <w:p w14:paraId="52BFCDB8" w14:textId="3AF34574" w:rsidR="006D724E" w:rsidRDefault="009F37FD" w:rsidP="006D724E">
      <w:pPr>
        <w:pStyle w:val="BodyText"/>
        <w:ind w:left="919" w:right="1134"/>
        <w:jc w:val="both"/>
      </w:pPr>
      <w:r w:rsidRPr="0017132A">
        <w:t xml:space="preserve">Costs incurred by the Authority </w:t>
      </w:r>
      <w:proofErr w:type="gramStart"/>
      <w:r w:rsidRPr="0017132A">
        <w:t>as a result of</w:t>
      </w:r>
      <w:proofErr w:type="gramEnd"/>
      <w:r w:rsidRPr="0017132A">
        <w:t xml:space="preserve"> the </w:t>
      </w:r>
      <w:r w:rsidR="001C768A">
        <w:t>governing b</w:t>
      </w:r>
      <w:r w:rsidRPr="0017132A">
        <w:t>ody being in breach of the terms of a contract.</w:t>
      </w:r>
    </w:p>
    <w:p w14:paraId="52BFCDB9" w14:textId="77777777" w:rsidR="006D724E" w:rsidRPr="0017132A" w:rsidRDefault="006D724E" w:rsidP="006D724E">
      <w:pPr>
        <w:pStyle w:val="BodyText"/>
        <w:ind w:left="919" w:right="1134"/>
        <w:jc w:val="both"/>
      </w:pPr>
    </w:p>
    <w:p w14:paraId="52BFCDBA" w14:textId="3F117652" w:rsidR="006D724E" w:rsidRPr="0017132A" w:rsidRDefault="00A314CE" w:rsidP="006D724E">
      <w:pPr>
        <w:pStyle w:val="Heading1"/>
        <w:jc w:val="both"/>
        <w:rPr>
          <w:sz w:val="22"/>
          <w:szCs w:val="22"/>
        </w:rPr>
      </w:pPr>
      <w:bookmarkStart w:id="24" w:name="_Toc413162181"/>
      <w:r>
        <w:rPr>
          <w:sz w:val="22"/>
          <w:szCs w:val="22"/>
        </w:rPr>
        <w:t>6.2.19</w:t>
      </w:r>
      <w:r>
        <w:rPr>
          <w:sz w:val="22"/>
          <w:szCs w:val="22"/>
        </w:rPr>
        <w:tab/>
        <w:t>Costs of Withdrawing from a Cluster A</w:t>
      </w:r>
      <w:r w:rsidR="009F37FD" w:rsidRPr="0017132A">
        <w:rPr>
          <w:sz w:val="22"/>
          <w:szCs w:val="22"/>
        </w:rPr>
        <w:t>rrangement</w:t>
      </w:r>
      <w:bookmarkEnd w:id="24"/>
    </w:p>
    <w:p w14:paraId="52BFCDBB" w14:textId="77777777" w:rsidR="006D724E" w:rsidRDefault="009F37FD" w:rsidP="006D724E">
      <w:pPr>
        <w:pStyle w:val="BodyText"/>
        <w:ind w:left="919" w:right="1134"/>
        <w:jc w:val="both"/>
      </w:pPr>
      <w:r w:rsidRPr="0017132A">
        <w:t xml:space="preserve">Costs incurred by the Authority or another school </w:t>
      </w:r>
      <w:proofErr w:type="gramStart"/>
      <w:r w:rsidRPr="0017132A">
        <w:t>as a result of</w:t>
      </w:r>
      <w:proofErr w:type="gramEnd"/>
      <w:r w:rsidRPr="0017132A">
        <w:t xml:space="preserve"> a school withdrawing from a cluster arrangement, for example where this has funded staff providing services across the cluster.</w:t>
      </w:r>
    </w:p>
    <w:p w14:paraId="6AEC1495" w14:textId="77777777" w:rsidR="001D75D4" w:rsidRDefault="001D75D4" w:rsidP="006D724E">
      <w:pPr>
        <w:pStyle w:val="BodyText"/>
        <w:ind w:left="919" w:right="1134"/>
        <w:jc w:val="both"/>
      </w:pPr>
    </w:p>
    <w:p w14:paraId="6B329BF0" w14:textId="1F97128B" w:rsidR="001D75D4" w:rsidRPr="0017132A" w:rsidRDefault="001D75D4" w:rsidP="001D75D4">
      <w:pPr>
        <w:pStyle w:val="Heading1"/>
        <w:jc w:val="both"/>
        <w:rPr>
          <w:sz w:val="22"/>
          <w:szCs w:val="22"/>
        </w:rPr>
      </w:pPr>
      <w:r>
        <w:rPr>
          <w:sz w:val="22"/>
          <w:szCs w:val="22"/>
        </w:rPr>
        <w:t>6.2.</w:t>
      </w:r>
      <w:r w:rsidR="00CA01B8">
        <w:rPr>
          <w:sz w:val="22"/>
          <w:szCs w:val="22"/>
        </w:rPr>
        <w:t>20</w:t>
      </w:r>
      <w:r>
        <w:rPr>
          <w:sz w:val="22"/>
          <w:szCs w:val="22"/>
        </w:rPr>
        <w:tab/>
        <w:t xml:space="preserve">Costs of Undisputed Energy invoices </w:t>
      </w:r>
    </w:p>
    <w:p w14:paraId="0F954485" w14:textId="0BED78CD" w:rsidR="001D75D4" w:rsidRDefault="001D75D4" w:rsidP="001D75D4">
      <w:pPr>
        <w:pStyle w:val="BodyText"/>
        <w:ind w:left="919" w:right="1134"/>
        <w:jc w:val="both"/>
      </w:pPr>
      <w:r w:rsidRPr="001D75D4">
        <w:t>The cost of an undisputed invoice for energy where a school has entered into an agreement with the Secretary of State for the supply of energy and failed to pay such an invoice (Regulation 23 of the regulations).</w:t>
      </w:r>
    </w:p>
    <w:p w14:paraId="2B3C99D3" w14:textId="77777777" w:rsidR="00CA01B8" w:rsidRDefault="00CA01B8" w:rsidP="001D75D4">
      <w:pPr>
        <w:pStyle w:val="BodyText"/>
        <w:ind w:left="919" w:right="1134"/>
        <w:jc w:val="both"/>
      </w:pPr>
    </w:p>
    <w:p w14:paraId="123C3E85" w14:textId="4722258D" w:rsidR="00CA01B8" w:rsidRPr="0017132A" w:rsidRDefault="00CA01B8" w:rsidP="00CA01B8">
      <w:pPr>
        <w:pStyle w:val="Heading1"/>
        <w:jc w:val="both"/>
        <w:rPr>
          <w:sz w:val="22"/>
          <w:szCs w:val="22"/>
        </w:rPr>
      </w:pPr>
      <w:r>
        <w:rPr>
          <w:sz w:val="22"/>
          <w:szCs w:val="22"/>
        </w:rPr>
        <w:t>6.2.21</w:t>
      </w:r>
      <w:r>
        <w:rPr>
          <w:sz w:val="22"/>
          <w:szCs w:val="22"/>
        </w:rPr>
        <w:tab/>
        <w:t>Costs of Administering Appeals</w:t>
      </w:r>
    </w:p>
    <w:p w14:paraId="2C3738BA" w14:textId="77777777" w:rsidR="00CA01B8" w:rsidRDefault="00CA01B8" w:rsidP="00CA01B8">
      <w:pPr>
        <w:pStyle w:val="BodyText"/>
        <w:ind w:left="919" w:right="1134"/>
        <w:jc w:val="both"/>
      </w:pPr>
      <w:r w:rsidRPr="001D75D4">
        <w:t>Costs incurred by the local authority in administering admissions appeals, where the local authority is the admissions authority and the funding for admission appeals has been delegated to all schools as part of their formula allocation</w:t>
      </w:r>
      <w:r w:rsidRPr="0017132A">
        <w:t>.</w:t>
      </w:r>
    </w:p>
    <w:p w14:paraId="7BCFCCFD" w14:textId="77777777" w:rsidR="001D75D4" w:rsidRPr="0017132A" w:rsidRDefault="001D75D4" w:rsidP="006D724E">
      <w:pPr>
        <w:pStyle w:val="BodyText"/>
        <w:ind w:left="919" w:right="1134"/>
        <w:jc w:val="both"/>
      </w:pPr>
    </w:p>
    <w:p w14:paraId="52BFCDBE" w14:textId="77777777" w:rsidR="006D724E" w:rsidRDefault="009F37FD" w:rsidP="006D724E">
      <w:pPr>
        <w:pStyle w:val="ListParagraph"/>
        <w:numPr>
          <w:ilvl w:val="0"/>
          <w:numId w:val="5"/>
        </w:numPr>
        <w:tabs>
          <w:tab w:val="left" w:pos="1637"/>
          <w:tab w:val="left" w:pos="1639"/>
        </w:tabs>
        <w:spacing w:before="64"/>
        <w:ind w:left="1638" w:right="1066"/>
        <w:jc w:val="both"/>
        <w:rPr>
          <w:b/>
          <w:sz w:val="36"/>
        </w:rPr>
      </w:pPr>
      <w:r>
        <w:rPr>
          <w:b/>
          <w:sz w:val="36"/>
        </w:rPr>
        <w:t>Taxation</w:t>
      </w:r>
    </w:p>
    <w:p w14:paraId="52BFCDBF" w14:textId="77777777" w:rsidR="006D724E" w:rsidRDefault="009F37FD" w:rsidP="006D724E">
      <w:pPr>
        <w:pStyle w:val="ListParagraph"/>
        <w:numPr>
          <w:ilvl w:val="1"/>
          <w:numId w:val="5"/>
        </w:numPr>
        <w:tabs>
          <w:tab w:val="left" w:pos="1637"/>
          <w:tab w:val="left" w:pos="1639"/>
        </w:tabs>
        <w:spacing w:before="323"/>
        <w:ind w:right="1066"/>
        <w:jc w:val="both"/>
        <w:rPr>
          <w:b/>
          <w:sz w:val="28"/>
        </w:rPr>
      </w:pPr>
      <w:r>
        <w:rPr>
          <w:b/>
          <w:sz w:val="28"/>
        </w:rPr>
        <w:t xml:space="preserve">Value </w:t>
      </w:r>
      <w:r>
        <w:rPr>
          <w:b/>
          <w:spacing w:val="-3"/>
          <w:sz w:val="28"/>
        </w:rPr>
        <w:t>Added</w:t>
      </w:r>
      <w:r>
        <w:rPr>
          <w:b/>
          <w:spacing w:val="2"/>
          <w:sz w:val="28"/>
        </w:rPr>
        <w:t xml:space="preserve"> </w:t>
      </w:r>
      <w:r>
        <w:rPr>
          <w:b/>
          <w:sz w:val="28"/>
        </w:rPr>
        <w:t>Tax</w:t>
      </w:r>
    </w:p>
    <w:p w14:paraId="52BFCDC0" w14:textId="77777777" w:rsidR="006D724E" w:rsidRDefault="009F37FD" w:rsidP="00EE7C68">
      <w:pPr>
        <w:pStyle w:val="ListBullet"/>
      </w:pPr>
      <w:r w:rsidRPr="0017132A">
        <w:t xml:space="preserve">The Local Authority </w:t>
      </w:r>
      <w:proofErr w:type="gramStart"/>
      <w:r w:rsidRPr="0017132A">
        <w:t>is able to</w:t>
      </w:r>
      <w:proofErr w:type="gramEnd"/>
      <w:r w:rsidRPr="0017132A">
        <w:t xml:space="preserve"> reclaim VAT on expenditure relating to non-business activity.  Any VAT on such expenditure incurred by schools under this heading will be able to be reclaimed by the Authority and amounts so reclaimed will be passed back to the school concerned.</w:t>
      </w:r>
    </w:p>
    <w:p w14:paraId="464527A5" w14:textId="77777777" w:rsidR="00EE7C68" w:rsidRPr="0017132A" w:rsidRDefault="00EE7C68" w:rsidP="00EE7C68">
      <w:pPr>
        <w:pStyle w:val="ListBullet"/>
      </w:pPr>
    </w:p>
    <w:p w14:paraId="52BFCDC1" w14:textId="77777777" w:rsidR="006D724E" w:rsidRDefault="009F37FD" w:rsidP="00EE7C68">
      <w:pPr>
        <w:pStyle w:val="ListBullet"/>
      </w:pPr>
      <w:r w:rsidRPr="0017132A">
        <w:t>HM Customs &amp; Excise have agreed that VAT incurred by schools when spending any funding made available by the Authority is treated as being incurred by the Authority and qualifies for reclaim by the Authority.</w:t>
      </w:r>
    </w:p>
    <w:p w14:paraId="660ECC31" w14:textId="77777777" w:rsidR="00EE7C68" w:rsidRPr="0017132A" w:rsidRDefault="00EE7C68" w:rsidP="00EE7C68">
      <w:pPr>
        <w:pStyle w:val="ListBullet"/>
      </w:pPr>
    </w:p>
    <w:p w14:paraId="52BFCDC2" w14:textId="77777777" w:rsidR="006D724E" w:rsidRDefault="009F37FD" w:rsidP="00EE7C68">
      <w:pPr>
        <w:pStyle w:val="CM53"/>
        <w:ind w:left="919" w:right="1066"/>
        <w:jc w:val="both"/>
        <w:rPr>
          <w:rFonts w:cs="Arial"/>
          <w:color w:val="000000"/>
          <w:sz w:val="22"/>
          <w:szCs w:val="22"/>
        </w:rPr>
      </w:pPr>
      <w:r w:rsidRPr="0017132A">
        <w:rPr>
          <w:rFonts w:cs="Arial"/>
          <w:sz w:val="22"/>
          <w:szCs w:val="22"/>
        </w:rPr>
        <w:t xml:space="preserve">This is a continuation of the current practice whereby existing Authority maintained schools recover VAT incurred on their IBA expenditure through the submission of monthly expenditure returns to the Authority.  </w:t>
      </w:r>
      <w:r w:rsidRPr="0017132A">
        <w:rPr>
          <w:rFonts w:cs="Arial"/>
          <w:color w:val="000000"/>
          <w:sz w:val="22"/>
          <w:szCs w:val="22"/>
        </w:rPr>
        <w:t>This provision excludes expenditure by Governors of voluntary aided schools when incurring capital expenditure as part of their statutory duties.</w:t>
      </w:r>
    </w:p>
    <w:p w14:paraId="408E3C6A" w14:textId="77777777" w:rsidR="00EE7C68" w:rsidRPr="00EE7C68" w:rsidRDefault="00EE7C68" w:rsidP="00EE7C68">
      <w:pPr>
        <w:pStyle w:val="Default"/>
      </w:pPr>
    </w:p>
    <w:p w14:paraId="52BFCDC3" w14:textId="418D7C27" w:rsidR="006D724E" w:rsidRPr="0017132A" w:rsidRDefault="009F37FD" w:rsidP="00EE7C68">
      <w:pPr>
        <w:pStyle w:val="ListBullet"/>
      </w:pPr>
      <w:r w:rsidRPr="0017132A">
        <w:t>The Authority will aim</w:t>
      </w:r>
      <w:r w:rsidR="001C768A">
        <w:t xml:space="preserve"> to</w:t>
      </w:r>
      <w:r w:rsidRPr="0017132A">
        <w:t xml:space="preserve"> reimburse schools for VAT within fo</w:t>
      </w:r>
      <w:r w:rsidR="001C768A">
        <w:t>ur weeks of receipt of the VAT s</w:t>
      </w:r>
      <w:r w:rsidRPr="0017132A">
        <w:t>ubmittal from the school.  This does not apply where there are errors within the information provided to the Authority by schools.</w:t>
      </w:r>
    </w:p>
    <w:p w14:paraId="52BFCDC4" w14:textId="77777777" w:rsidR="006D724E" w:rsidRPr="00610345" w:rsidRDefault="006D724E" w:rsidP="006D724E">
      <w:pPr>
        <w:pStyle w:val="BodyText"/>
        <w:spacing w:before="8"/>
        <w:ind w:right="1066"/>
        <w:jc w:val="both"/>
      </w:pPr>
    </w:p>
    <w:p w14:paraId="52BFCDC5" w14:textId="77777777" w:rsidR="006D724E" w:rsidRDefault="009F37FD" w:rsidP="006D724E">
      <w:pPr>
        <w:pStyle w:val="Heading1"/>
        <w:numPr>
          <w:ilvl w:val="1"/>
          <w:numId w:val="5"/>
        </w:numPr>
        <w:tabs>
          <w:tab w:val="left" w:pos="1637"/>
          <w:tab w:val="left" w:pos="1639"/>
        </w:tabs>
        <w:ind w:right="1066"/>
        <w:jc w:val="both"/>
      </w:pPr>
      <w:r>
        <w:t>Construction Industry Tax Deduction</w:t>
      </w:r>
      <w:r>
        <w:rPr>
          <w:spacing w:val="-8"/>
        </w:rPr>
        <w:t xml:space="preserve"> </w:t>
      </w:r>
      <w:r>
        <w:t>Scheme (CIS)</w:t>
      </w:r>
    </w:p>
    <w:p w14:paraId="52BFCDC6" w14:textId="394E87E9" w:rsidR="006D724E" w:rsidRPr="0017132A" w:rsidRDefault="009F37FD" w:rsidP="006D724E">
      <w:pPr>
        <w:pStyle w:val="CM53"/>
        <w:spacing w:after="240"/>
        <w:ind w:left="917" w:right="1066"/>
        <w:jc w:val="both"/>
        <w:rPr>
          <w:rFonts w:cs="Arial"/>
          <w:color w:val="000000"/>
          <w:sz w:val="22"/>
          <w:szCs w:val="22"/>
        </w:rPr>
      </w:pPr>
      <w:r w:rsidRPr="0017132A">
        <w:rPr>
          <w:rFonts w:cs="Arial"/>
          <w:sz w:val="22"/>
          <w:szCs w:val="22"/>
        </w:rPr>
        <w:t>A</w:t>
      </w:r>
      <w:r w:rsidR="001C768A">
        <w:rPr>
          <w:rFonts w:cs="Arial"/>
          <w:sz w:val="22"/>
          <w:szCs w:val="22"/>
        </w:rPr>
        <w:t>ll s</w:t>
      </w:r>
      <w:r w:rsidRPr="0017132A">
        <w:rPr>
          <w:rFonts w:cs="Arial"/>
          <w:sz w:val="22"/>
          <w:szCs w:val="22"/>
        </w:rPr>
        <w:t>chools will be expected to abide by the procedures as issued (and amended from time to time) by the Authority in connection with CITS.</w:t>
      </w:r>
      <w:r w:rsidRPr="0017132A">
        <w:rPr>
          <w:rFonts w:cs="Arial"/>
          <w:color w:val="000000"/>
          <w:sz w:val="22"/>
          <w:szCs w:val="22"/>
        </w:rPr>
        <w:t xml:space="preserve"> </w:t>
      </w:r>
    </w:p>
    <w:p w14:paraId="52BFCDCF" w14:textId="21F8748A" w:rsidR="006D724E" w:rsidRDefault="003B50EE" w:rsidP="003B50EE">
      <w:pPr>
        <w:pStyle w:val="BodyText"/>
        <w:ind w:right="1066"/>
        <w:jc w:val="both"/>
        <w:sectPr w:rsidR="006D724E">
          <w:pgSz w:w="11910" w:h="16840"/>
          <w:pgMar w:top="1020" w:right="140" w:bottom="280" w:left="220" w:header="720" w:footer="720" w:gutter="0"/>
          <w:cols w:space="720"/>
        </w:sectPr>
      </w:pPr>
      <w:r>
        <w:rPr>
          <w:sz w:val="20"/>
        </w:rPr>
        <w:tab/>
      </w:r>
    </w:p>
    <w:p w14:paraId="52BFCDD0"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Provision of services and facilities by the</w:t>
      </w:r>
      <w:r>
        <w:rPr>
          <w:b/>
          <w:spacing w:val="-11"/>
          <w:sz w:val="36"/>
        </w:rPr>
        <w:t xml:space="preserve"> </w:t>
      </w:r>
      <w:r>
        <w:rPr>
          <w:b/>
          <w:sz w:val="36"/>
        </w:rPr>
        <w:t>Authority</w:t>
      </w:r>
    </w:p>
    <w:p w14:paraId="52BFCDD1" w14:textId="35E8F1F7" w:rsidR="006D724E" w:rsidRDefault="00B158BB" w:rsidP="006D724E">
      <w:pPr>
        <w:pStyle w:val="ListParagraph"/>
        <w:numPr>
          <w:ilvl w:val="1"/>
          <w:numId w:val="5"/>
        </w:numPr>
        <w:tabs>
          <w:tab w:val="left" w:pos="1637"/>
          <w:tab w:val="left" w:pos="1639"/>
        </w:tabs>
        <w:spacing w:before="281"/>
        <w:jc w:val="both"/>
        <w:rPr>
          <w:b/>
          <w:sz w:val="28"/>
        </w:rPr>
      </w:pPr>
      <w:r>
        <w:rPr>
          <w:b/>
          <w:sz w:val="28"/>
        </w:rPr>
        <w:t>Provision of Services from C</w:t>
      </w:r>
      <w:r w:rsidR="009F37FD">
        <w:rPr>
          <w:b/>
          <w:sz w:val="28"/>
        </w:rPr>
        <w:t xml:space="preserve">entrally </w:t>
      </w:r>
      <w:r>
        <w:rPr>
          <w:b/>
          <w:sz w:val="28"/>
        </w:rPr>
        <w:t>R</w:t>
      </w:r>
      <w:r w:rsidR="009F37FD">
        <w:rPr>
          <w:b/>
          <w:sz w:val="28"/>
        </w:rPr>
        <w:t>etained</w:t>
      </w:r>
      <w:r w:rsidR="009F37FD">
        <w:rPr>
          <w:b/>
          <w:spacing w:val="-8"/>
          <w:sz w:val="28"/>
        </w:rPr>
        <w:t xml:space="preserve"> </w:t>
      </w:r>
      <w:r>
        <w:rPr>
          <w:b/>
          <w:sz w:val="28"/>
        </w:rPr>
        <w:t>B</w:t>
      </w:r>
      <w:r w:rsidR="009F37FD">
        <w:rPr>
          <w:b/>
          <w:sz w:val="28"/>
        </w:rPr>
        <w:t>udgets</w:t>
      </w:r>
    </w:p>
    <w:p w14:paraId="52BFCDD2" w14:textId="77777777" w:rsidR="006D724E" w:rsidRPr="000102A7" w:rsidRDefault="009F37FD" w:rsidP="00610345">
      <w:pPr>
        <w:pStyle w:val="BodyText"/>
        <w:ind w:left="919" w:right="1066"/>
        <w:jc w:val="both"/>
      </w:pPr>
      <w:r w:rsidRPr="000102A7">
        <w:t>The Authority shall continue to provide some services to schools that have been centrally retained.  The Authority shall have the freedom to determine the basis of the allocation of services to schools but shall do so in a manner, which is transparent and does not differentiate between categories of schools except where the funding has been delegated to some schools only.  The Authority may also differentiate between categories of school where there are differences in statutory duties.  This provision shall also apply to premature retirement costs and redundancy payments that are made by the Authority.  In the event of there being insufficient take up for a particular service on offer, the Authority reserves the right to discontinue the provision of the service.</w:t>
      </w:r>
    </w:p>
    <w:p w14:paraId="52BFCDD3" w14:textId="77777777" w:rsidR="006D724E" w:rsidRPr="00EE7C68" w:rsidRDefault="006D724E" w:rsidP="006D724E">
      <w:pPr>
        <w:pStyle w:val="BodyText"/>
        <w:spacing w:before="1"/>
        <w:jc w:val="both"/>
      </w:pPr>
    </w:p>
    <w:p w14:paraId="52BFCDD4" w14:textId="55CB2240" w:rsidR="006D724E" w:rsidRDefault="00B158BB" w:rsidP="00936AD7">
      <w:pPr>
        <w:pStyle w:val="Heading1"/>
        <w:numPr>
          <w:ilvl w:val="1"/>
          <w:numId w:val="5"/>
        </w:numPr>
        <w:tabs>
          <w:tab w:val="left" w:pos="1637"/>
          <w:tab w:val="left" w:pos="1639"/>
        </w:tabs>
        <w:ind w:left="917" w:right="1060" w:firstLine="0"/>
        <w:jc w:val="both"/>
      </w:pPr>
      <w:r>
        <w:t>Provision of Services Bought from the L</w:t>
      </w:r>
      <w:r w:rsidR="009F37FD">
        <w:t>ocal Authority</w:t>
      </w:r>
      <w:r w:rsidR="009F37FD">
        <w:rPr>
          <w:spacing w:val="-31"/>
        </w:rPr>
        <w:t xml:space="preserve"> </w:t>
      </w:r>
      <w:r>
        <w:t>Using D</w:t>
      </w:r>
      <w:r w:rsidR="009F37FD">
        <w:t>elegated</w:t>
      </w:r>
      <w:r w:rsidR="009F37FD">
        <w:rPr>
          <w:spacing w:val="-2"/>
        </w:rPr>
        <w:t xml:space="preserve"> </w:t>
      </w:r>
      <w:r>
        <w:t>B</w:t>
      </w:r>
      <w:r w:rsidR="009F37FD">
        <w:t>udgets</w:t>
      </w:r>
    </w:p>
    <w:p w14:paraId="52BFCDD5" w14:textId="6A4F7B04" w:rsidR="006D724E" w:rsidRDefault="009F37FD" w:rsidP="00610345">
      <w:pPr>
        <w:pStyle w:val="BodyText"/>
        <w:ind w:left="917" w:right="1066"/>
        <w:jc w:val="both"/>
      </w:pPr>
      <w:r>
        <w:t xml:space="preserve">Services that a school has agreed to purchase from its delegated budget shall be subject to time limitations on the agreement.  Agreements between schools and the Authority for the purchase of such services may be for a maximum of 3 years and periods not exceeding </w:t>
      </w:r>
      <w:r w:rsidR="009D7929">
        <w:t>5</w:t>
      </w:r>
      <w:r>
        <w:t xml:space="preserve"> years for any subsequent agreement relating to the same services.  The exception to this rule relates to the extension to </w:t>
      </w:r>
      <w:r w:rsidR="009D7929">
        <w:t>5</w:t>
      </w:r>
      <w:r>
        <w:t xml:space="preserve"> and </w:t>
      </w:r>
      <w:r w:rsidR="009D7929">
        <w:t>7</w:t>
      </w:r>
      <w:r>
        <w:t xml:space="preserve"> years respectively for contracts for supply of catering services.</w:t>
      </w:r>
    </w:p>
    <w:p w14:paraId="52BFCDD8" w14:textId="77777777" w:rsidR="006D724E" w:rsidRPr="00437C97" w:rsidRDefault="006D724E" w:rsidP="00610345">
      <w:pPr>
        <w:pStyle w:val="BodyText"/>
        <w:ind w:right="1066"/>
        <w:jc w:val="both"/>
        <w:rPr>
          <w:strike/>
        </w:rPr>
      </w:pPr>
    </w:p>
    <w:p w14:paraId="52BFCDD9" w14:textId="3A52CE83" w:rsidR="006D724E" w:rsidRPr="000102A7" w:rsidRDefault="009F37FD" w:rsidP="00610345">
      <w:pPr>
        <w:pStyle w:val="BodyText"/>
        <w:ind w:left="917" w:right="1066"/>
        <w:jc w:val="both"/>
      </w:pPr>
      <w:r>
        <w:t>When a service is provided for which expenditure is not retainable centrally by the Authority un</w:t>
      </w:r>
      <w:r w:rsidR="009D7929">
        <w:t>der the Regulations made under s</w:t>
      </w:r>
      <w:r>
        <w:t>ection 45A of the Act, it must be offered at prices that are intended to generate income, which is no less than the cost of providing those services.  The total cost of the service should be met by the total income, even if schools are charged differentially.</w:t>
      </w:r>
    </w:p>
    <w:p w14:paraId="52BFCDDA" w14:textId="77777777" w:rsidR="006D724E" w:rsidRPr="00EE7C68" w:rsidRDefault="006D724E" w:rsidP="006D724E">
      <w:pPr>
        <w:pStyle w:val="BodyText"/>
        <w:jc w:val="both"/>
      </w:pPr>
    </w:p>
    <w:p w14:paraId="52BFCDDB" w14:textId="77777777" w:rsidR="006D724E" w:rsidRPr="00480689" w:rsidRDefault="009F37FD" w:rsidP="006D724E">
      <w:pPr>
        <w:pStyle w:val="Heading1"/>
        <w:spacing w:before="1"/>
        <w:ind w:left="917" w:firstLine="0"/>
        <w:jc w:val="both"/>
        <w:rPr>
          <w:sz w:val="22"/>
        </w:rPr>
      </w:pPr>
      <w:r w:rsidRPr="00480689">
        <w:rPr>
          <w:sz w:val="22"/>
        </w:rPr>
        <w:t>8.2.1 Packaging</w:t>
      </w:r>
    </w:p>
    <w:p w14:paraId="52BFCDDC" w14:textId="77777777" w:rsidR="006D724E" w:rsidRPr="000102A7" w:rsidRDefault="009F37FD" w:rsidP="006D724E">
      <w:pPr>
        <w:pStyle w:val="BodyText"/>
        <w:ind w:left="917" w:right="1066"/>
        <w:jc w:val="both"/>
      </w:pPr>
      <w:r w:rsidRPr="000102A7">
        <w:t>The Authority shall not offer services to schools in such a way as to unreasonably restrict their freedom of choice.</w:t>
      </w:r>
    </w:p>
    <w:p w14:paraId="52BFCDDD" w14:textId="77777777" w:rsidR="006D724E" w:rsidRPr="00EE7C68" w:rsidRDefault="006D724E" w:rsidP="006D724E">
      <w:pPr>
        <w:pStyle w:val="BodyText"/>
        <w:spacing w:before="10"/>
        <w:jc w:val="both"/>
      </w:pPr>
    </w:p>
    <w:p w14:paraId="52BFCDDE" w14:textId="77777777" w:rsidR="006D724E" w:rsidRDefault="009F37FD" w:rsidP="006D724E">
      <w:pPr>
        <w:pStyle w:val="Heading1"/>
        <w:numPr>
          <w:ilvl w:val="1"/>
          <w:numId w:val="3"/>
        </w:numPr>
        <w:tabs>
          <w:tab w:val="left" w:pos="1637"/>
          <w:tab w:val="left" w:pos="1639"/>
        </w:tabs>
        <w:spacing w:before="1"/>
        <w:jc w:val="both"/>
      </w:pPr>
      <w:r>
        <w:t>Service Level</w:t>
      </w:r>
      <w:r>
        <w:rPr>
          <w:spacing w:val="1"/>
        </w:rPr>
        <w:t xml:space="preserve"> </w:t>
      </w:r>
      <w:r>
        <w:t>Agreements</w:t>
      </w:r>
    </w:p>
    <w:p w14:paraId="52BFCDDF" w14:textId="3B6608EC" w:rsidR="006D724E" w:rsidRPr="0017132A" w:rsidRDefault="009F37FD" w:rsidP="006D724E">
      <w:pPr>
        <w:pStyle w:val="CM53"/>
        <w:spacing w:after="240"/>
        <w:ind w:left="917" w:right="918"/>
        <w:jc w:val="both"/>
        <w:rPr>
          <w:rFonts w:cs="Arial"/>
          <w:color w:val="000000"/>
          <w:sz w:val="22"/>
          <w:szCs w:val="22"/>
        </w:rPr>
      </w:pPr>
      <w:r>
        <w:rPr>
          <w:rFonts w:cs="Arial"/>
          <w:color w:val="000000"/>
          <w:sz w:val="22"/>
          <w:szCs w:val="22"/>
        </w:rPr>
        <w:t>All S</w:t>
      </w:r>
      <w:r w:rsidRPr="0017132A">
        <w:rPr>
          <w:rFonts w:cs="Arial"/>
          <w:color w:val="000000"/>
          <w:sz w:val="22"/>
          <w:szCs w:val="22"/>
        </w:rPr>
        <w:t>ervice Level Agreements must be in place by 28 February to be effective for the following financial year.  Schools will have at least a month to consider the terms of any such agreements with the Authority.</w:t>
      </w:r>
    </w:p>
    <w:p w14:paraId="52BFCDE0" w14:textId="77025356" w:rsidR="006D724E" w:rsidRDefault="009F37FD" w:rsidP="00EE7C68">
      <w:pPr>
        <w:pStyle w:val="CM53"/>
        <w:ind w:left="919" w:right="919"/>
        <w:jc w:val="both"/>
        <w:rPr>
          <w:rFonts w:cs="Arial"/>
          <w:color w:val="000000"/>
          <w:sz w:val="22"/>
          <w:szCs w:val="22"/>
        </w:rPr>
      </w:pPr>
      <w:r w:rsidRPr="0017132A">
        <w:rPr>
          <w:rFonts w:cs="Arial"/>
          <w:color w:val="000000"/>
          <w:sz w:val="22"/>
          <w:szCs w:val="22"/>
        </w:rPr>
        <w:t xml:space="preserve">Service Level Agreements between schools and the Authority for the provision of services will be for one or more years depending on the nature of the service on offer.  All SLAs shall be subject to </w:t>
      </w:r>
      <w:proofErr w:type="gramStart"/>
      <w:r w:rsidRPr="0017132A">
        <w:rPr>
          <w:rFonts w:cs="Arial"/>
          <w:color w:val="000000"/>
          <w:sz w:val="22"/>
          <w:szCs w:val="22"/>
        </w:rPr>
        <w:t>a regular</w:t>
      </w:r>
      <w:proofErr w:type="gramEnd"/>
      <w:r w:rsidRPr="0017132A">
        <w:rPr>
          <w:rFonts w:cs="Arial"/>
          <w:color w:val="000000"/>
          <w:sz w:val="22"/>
          <w:szCs w:val="22"/>
        </w:rPr>
        <w:t xml:space="preserve"> review and where an SLA is for more than 3 years, they shall be reviewed in the third year.  Where an SLA is for more than one year, the terms of the SLA shall include the basis of the price review on an annual basis.  </w:t>
      </w:r>
      <w:proofErr w:type="gramStart"/>
      <w:r w:rsidRPr="0017132A">
        <w:rPr>
          <w:rFonts w:cs="Arial"/>
          <w:color w:val="000000"/>
          <w:sz w:val="22"/>
          <w:szCs w:val="22"/>
        </w:rPr>
        <w:t>SLAs shall</w:t>
      </w:r>
      <w:proofErr w:type="gramEnd"/>
      <w:r w:rsidRPr="0017132A">
        <w:rPr>
          <w:rFonts w:cs="Arial"/>
          <w:color w:val="000000"/>
          <w:sz w:val="22"/>
          <w:szCs w:val="22"/>
        </w:rPr>
        <w:t xml:space="preserve"> normally come into effect on 1 April.  The Authority may permit a school to enter </w:t>
      </w:r>
      <w:proofErr w:type="gramStart"/>
      <w:r w:rsidRPr="0017132A">
        <w:rPr>
          <w:rFonts w:cs="Arial"/>
          <w:color w:val="000000"/>
          <w:sz w:val="22"/>
          <w:szCs w:val="22"/>
        </w:rPr>
        <w:t>at a later date</w:t>
      </w:r>
      <w:proofErr w:type="gramEnd"/>
      <w:r w:rsidRPr="0017132A">
        <w:rPr>
          <w:rFonts w:cs="Arial"/>
          <w:color w:val="000000"/>
          <w:sz w:val="22"/>
          <w:szCs w:val="22"/>
        </w:rPr>
        <w:t xml:space="preserve"> (where this happens there will be no extensio</w:t>
      </w:r>
      <w:r w:rsidR="00EE7C68">
        <w:rPr>
          <w:rFonts w:cs="Arial"/>
          <w:color w:val="000000"/>
          <w:sz w:val="22"/>
          <w:szCs w:val="22"/>
        </w:rPr>
        <w:t>n to the original close date).</w:t>
      </w:r>
    </w:p>
    <w:p w14:paraId="2F43F385" w14:textId="77777777" w:rsidR="00EE7C68" w:rsidRPr="00480689" w:rsidRDefault="00EE7C68" w:rsidP="00EE7C68">
      <w:pPr>
        <w:pStyle w:val="Default"/>
        <w:rPr>
          <w:sz w:val="22"/>
        </w:rPr>
      </w:pPr>
    </w:p>
    <w:p w14:paraId="52BFCDE1" w14:textId="229F7FE7" w:rsidR="006D724E" w:rsidRPr="00480689" w:rsidRDefault="009F37FD" w:rsidP="006D724E">
      <w:pPr>
        <w:pStyle w:val="Heading3"/>
        <w:numPr>
          <w:ilvl w:val="2"/>
          <w:numId w:val="3"/>
        </w:numPr>
        <w:tabs>
          <w:tab w:val="left" w:pos="1639"/>
        </w:tabs>
        <w:ind w:right="0"/>
        <w:jc w:val="both"/>
        <w:rPr>
          <w:b/>
          <w:sz w:val="22"/>
        </w:rPr>
      </w:pPr>
      <w:r w:rsidRPr="00480689">
        <w:rPr>
          <w:b/>
          <w:sz w:val="22"/>
        </w:rPr>
        <w:t>Review of</w:t>
      </w:r>
      <w:r w:rsidRPr="00480689">
        <w:rPr>
          <w:b/>
          <w:spacing w:val="-2"/>
          <w:sz w:val="22"/>
        </w:rPr>
        <w:t xml:space="preserve"> </w:t>
      </w:r>
      <w:r w:rsidR="00A314CE">
        <w:rPr>
          <w:b/>
          <w:sz w:val="22"/>
        </w:rPr>
        <w:t>P</w:t>
      </w:r>
      <w:r w:rsidRPr="00480689">
        <w:rPr>
          <w:b/>
          <w:sz w:val="22"/>
        </w:rPr>
        <w:t>rovision</w:t>
      </w:r>
    </w:p>
    <w:p w14:paraId="52BFCDE2" w14:textId="77777777" w:rsidR="006D724E" w:rsidRDefault="009F37FD" w:rsidP="006D724E">
      <w:pPr>
        <w:pStyle w:val="BodyText"/>
        <w:ind w:left="917" w:right="1001"/>
        <w:jc w:val="both"/>
      </w:pPr>
      <w:r>
        <w:t>If services or facilities are provided under a service level agreement, whether free or on a buy-back basis, the terms of the agreement will be reviewed at least every three years.</w:t>
      </w:r>
    </w:p>
    <w:p w14:paraId="52BFCDE3" w14:textId="77777777" w:rsidR="006D724E" w:rsidRPr="00EE7C68" w:rsidRDefault="006D724E" w:rsidP="006D724E">
      <w:pPr>
        <w:pStyle w:val="BodyText"/>
        <w:spacing w:before="11"/>
        <w:jc w:val="both"/>
      </w:pPr>
    </w:p>
    <w:p w14:paraId="52BFCDE4" w14:textId="77777777" w:rsidR="006D724E" w:rsidRDefault="009F37FD" w:rsidP="006D724E">
      <w:pPr>
        <w:pStyle w:val="BodyText"/>
        <w:ind w:left="917" w:right="1233"/>
        <w:jc w:val="both"/>
      </w:pPr>
      <w:r>
        <w:t>For those functions not delegated to schools and where a service is provided to schools, Service Level Entitlements should be in force.</w:t>
      </w:r>
    </w:p>
    <w:p w14:paraId="52BFCDE5" w14:textId="77777777" w:rsidR="006D724E" w:rsidRPr="00480689" w:rsidRDefault="006D724E" w:rsidP="006D724E">
      <w:pPr>
        <w:pStyle w:val="BodyText"/>
        <w:jc w:val="both"/>
        <w:rPr>
          <w:sz w:val="20"/>
        </w:rPr>
      </w:pPr>
    </w:p>
    <w:p w14:paraId="52BFCDE6" w14:textId="341C03AC" w:rsidR="006D724E" w:rsidRPr="00480689" w:rsidRDefault="009F37FD" w:rsidP="006D724E">
      <w:pPr>
        <w:pStyle w:val="Heading3"/>
        <w:numPr>
          <w:ilvl w:val="2"/>
          <w:numId w:val="3"/>
        </w:numPr>
        <w:tabs>
          <w:tab w:val="left" w:pos="1639"/>
        </w:tabs>
        <w:ind w:right="0"/>
        <w:jc w:val="both"/>
        <w:rPr>
          <w:b/>
          <w:sz w:val="22"/>
        </w:rPr>
      </w:pPr>
      <w:r w:rsidRPr="00480689">
        <w:rPr>
          <w:b/>
          <w:sz w:val="22"/>
        </w:rPr>
        <w:t xml:space="preserve">Basis of </w:t>
      </w:r>
      <w:r w:rsidR="00A314CE">
        <w:rPr>
          <w:b/>
          <w:sz w:val="22"/>
        </w:rPr>
        <w:t>P</w:t>
      </w:r>
      <w:r w:rsidRPr="00480689">
        <w:rPr>
          <w:b/>
          <w:sz w:val="22"/>
        </w:rPr>
        <w:t>rovision</w:t>
      </w:r>
    </w:p>
    <w:p w14:paraId="52BFCDE7" w14:textId="77777777" w:rsidR="006D724E" w:rsidRDefault="009F37FD" w:rsidP="006D724E">
      <w:pPr>
        <w:pStyle w:val="BodyText"/>
        <w:ind w:left="917" w:right="1086"/>
        <w:jc w:val="both"/>
      </w:pPr>
      <w:r>
        <w:t>Where services are provided on an ad hoc basis they may be charged for at a different rate than if provided through an extended agreement.</w:t>
      </w:r>
    </w:p>
    <w:p w14:paraId="52BFCDE8" w14:textId="77777777" w:rsidR="006D724E" w:rsidRPr="00EE7C68" w:rsidRDefault="006D724E" w:rsidP="006D724E">
      <w:pPr>
        <w:pStyle w:val="BodyText"/>
        <w:spacing w:before="11"/>
        <w:jc w:val="both"/>
      </w:pPr>
    </w:p>
    <w:p w14:paraId="52BFCDE9" w14:textId="77777777" w:rsidR="006D724E" w:rsidRDefault="009F37FD" w:rsidP="006D724E">
      <w:pPr>
        <w:pStyle w:val="BodyText"/>
        <w:ind w:left="917"/>
        <w:jc w:val="both"/>
      </w:pPr>
      <w:r>
        <w:t>The basis and terms of any service agreement will be agreed between the client and the provider.</w:t>
      </w:r>
    </w:p>
    <w:p w14:paraId="52BFCDEF" w14:textId="77777777" w:rsidR="006D724E" w:rsidRDefault="009F37FD" w:rsidP="00610345">
      <w:pPr>
        <w:pStyle w:val="Heading1"/>
        <w:numPr>
          <w:ilvl w:val="1"/>
          <w:numId w:val="3"/>
        </w:numPr>
        <w:ind w:left="1560" w:hanging="643"/>
        <w:jc w:val="both"/>
      </w:pPr>
      <w:r>
        <w:t>Teachers’</w:t>
      </w:r>
      <w:r>
        <w:rPr>
          <w:spacing w:val="1"/>
        </w:rPr>
        <w:t xml:space="preserve"> </w:t>
      </w:r>
      <w:r>
        <w:t>Pensions</w:t>
      </w:r>
    </w:p>
    <w:p w14:paraId="52BFCDF0" w14:textId="0385A8C6" w:rsidR="006D724E" w:rsidRDefault="009F37FD" w:rsidP="006D724E">
      <w:pPr>
        <w:pStyle w:val="BodyText"/>
        <w:ind w:left="917" w:right="1061"/>
        <w:jc w:val="both"/>
      </w:pPr>
      <w:proofErr w:type="gramStart"/>
      <w:r w:rsidRPr="0017132A">
        <w:lastRenderedPageBreak/>
        <w:t>In order to</w:t>
      </w:r>
      <w:proofErr w:type="gramEnd"/>
      <w:r w:rsidRPr="0017132A">
        <w:t xml:space="preserve"> ensure that the performance of the duty on the Authority to supply Teachers Pensions with information under the Teachers’ Pensions Regulations 1997, the following conditions are imposed on the Authority and </w:t>
      </w:r>
      <w:r w:rsidR="009D7929">
        <w:t>governing b</w:t>
      </w:r>
      <w:r w:rsidRPr="0017132A">
        <w:t>odies of all maintained schools covered by this Scheme in relation to their budget shares.</w:t>
      </w:r>
    </w:p>
    <w:p w14:paraId="52BFCDF1" w14:textId="77777777" w:rsidR="006D724E" w:rsidRPr="0017132A" w:rsidRDefault="006D724E" w:rsidP="006D724E">
      <w:pPr>
        <w:pStyle w:val="BodyText"/>
        <w:ind w:left="917" w:right="1061"/>
        <w:jc w:val="both"/>
      </w:pPr>
    </w:p>
    <w:p w14:paraId="52BFCDF2" w14:textId="77777777" w:rsidR="006D724E" w:rsidRDefault="009F37FD" w:rsidP="006D724E">
      <w:pPr>
        <w:pStyle w:val="BodyText"/>
        <w:ind w:left="917" w:right="1061"/>
        <w:jc w:val="both"/>
      </w:pPr>
      <w:r w:rsidRPr="0017132A">
        <w:t xml:space="preserve">The conditions only apply to Governing Bodies of maintained schools that have not </w:t>
      </w:r>
      <w:proofErr w:type="gramStart"/>
      <w:r w:rsidRPr="0017132A">
        <w:t>entered into</w:t>
      </w:r>
      <w:proofErr w:type="gramEnd"/>
      <w:r w:rsidRPr="0017132A">
        <w:t xml:space="preserve"> an arrangement with the Authority to provide payroll services. </w:t>
      </w:r>
    </w:p>
    <w:p w14:paraId="52BFCDF3" w14:textId="77777777" w:rsidR="006D724E" w:rsidRPr="0017132A" w:rsidRDefault="006D724E" w:rsidP="006D724E">
      <w:pPr>
        <w:pStyle w:val="BodyText"/>
        <w:ind w:left="917" w:right="1061"/>
        <w:jc w:val="both"/>
      </w:pPr>
    </w:p>
    <w:p w14:paraId="52BFCDF4" w14:textId="77777777" w:rsidR="006D724E" w:rsidRDefault="009F37FD" w:rsidP="006D724E">
      <w:pPr>
        <w:pStyle w:val="BodyText"/>
        <w:ind w:left="917" w:right="1061"/>
        <w:jc w:val="both"/>
      </w:pPr>
      <w:r w:rsidRPr="0017132A">
        <w:t>A Governing Body of any maintained school, whether or not the employer of the teachers at such a school, which has entered into any arrangement or agreement with a person other than the Authority to provide payroll services, shall ensure that any such arrangement or agreement is varied to require that person to supply salary, service and pensions data to the Authority which the Authority requires to submit its annual return of salary and service to Teachers' Pensions and to produce its audited contributions certificate.  The Authority will advise schools each year of the timing, format and specification of the information required.  A Governing Body shall also ensure that any such arrangement or agreement is varied to require that Additional Voluntary Contributions (AVCs) are passed to the Authority within the time limit specified in the AVC scheme.  The Governing Body shall meet any consequential costs from the school’s budget share.</w:t>
      </w:r>
    </w:p>
    <w:p w14:paraId="52BFCDF5" w14:textId="77777777" w:rsidR="006D724E" w:rsidRPr="0017132A" w:rsidRDefault="006D724E" w:rsidP="006D724E">
      <w:pPr>
        <w:pStyle w:val="BodyText"/>
        <w:ind w:left="917" w:right="1061"/>
        <w:jc w:val="both"/>
      </w:pPr>
    </w:p>
    <w:p w14:paraId="52BFCDF6" w14:textId="7ACD7378" w:rsidR="006D724E" w:rsidRPr="000102A7" w:rsidRDefault="009D7929" w:rsidP="006D724E">
      <w:pPr>
        <w:pStyle w:val="BodyText"/>
        <w:ind w:left="917" w:right="1061"/>
        <w:jc w:val="both"/>
      </w:pPr>
      <w:r>
        <w:t>A governing b</w:t>
      </w:r>
      <w:r w:rsidR="009F37FD" w:rsidRPr="0017132A">
        <w:t>ody of any maintained school which directly administers its payroll shall supply salary, service and pensions data to the Authority which the Authority requires to submit its annual return of salary and service to Teachers' Pensions and to produce its audited contributions certificate.  The Authority will advise schools each year of the timing, format and specification of the information required from each school.  A Governing Body shall also ensure that Additional Voluntary Contributions (AVCs) are passed to the Authority within the time limit specified in the AVC scheme.  The Governing Body shall meet any consequential costs f</w:t>
      </w:r>
      <w:r w:rsidR="009F37FD">
        <w:t>rom the school’s budget share.</w:t>
      </w:r>
      <w:r>
        <w:t xml:space="preserve"> </w:t>
      </w:r>
      <w:r w:rsidR="009F37FD">
        <w:t xml:space="preserve"> </w:t>
      </w:r>
      <w:proofErr w:type="gramStart"/>
      <w:r w:rsidR="009F37FD">
        <w:t>In order to</w:t>
      </w:r>
      <w:proofErr w:type="gramEnd"/>
      <w:r w:rsidR="009F37FD">
        <w:t xml:space="preserve"> ensure that the performance of the duty on the Authority to supply Teachers Pensions with information under the Teachers’ Pensions Regulations 2014, the following conditions are imposed on the Authority and governing bodies of all maintained schools covered by this Scheme in relation to their budget shares.</w:t>
      </w:r>
    </w:p>
    <w:p w14:paraId="52BFCDF7" w14:textId="6B5E2C81" w:rsidR="006D724E" w:rsidRPr="000E2FEC" w:rsidRDefault="006D724E" w:rsidP="006D724E">
      <w:pPr>
        <w:pStyle w:val="Heading3"/>
        <w:spacing w:before="92"/>
        <w:jc w:val="both"/>
        <w:rPr>
          <w:sz w:val="22"/>
          <w:szCs w:val="22"/>
        </w:rPr>
      </w:pPr>
    </w:p>
    <w:p w14:paraId="67634F7B" w14:textId="3BB26078" w:rsidR="00480689" w:rsidRDefault="009F37FD" w:rsidP="00480689">
      <w:pPr>
        <w:pStyle w:val="ListParagraph"/>
        <w:numPr>
          <w:ilvl w:val="0"/>
          <w:numId w:val="5"/>
        </w:numPr>
        <w:tabs>
          <w:tab w:val="left" w:pos="1637"/>
          <w:tab w:val="left" w:pos="1639"/>
        </w:tabs>
        <w:spacing w:before="69"/>
        <w:ind w:left="1638"/>
        <w:jc w:val="both"/>
        <w:rPr>
          <w:b/>
          <w:sz w:val="36"/>
        </w:rPr>
      </w:pPr>
      <w:r>
        <w:rPr>
          <w:b/>
          <w:sz w:val="36"/>
        </w:rPr>
        <w:t>PFI clauses</w:t>
      </w:r>
    </w:p>
    <w:p w14:paraId="452BC099" w14:textId="77777777" w:rsidR="00480689" w:rsidRPr="00480689" w:rsidRDefault="00480689" w:rsidP="00480689">
      <w:pPr>
        <w:pStyle w:val="ListParagraph"/>
        <w:tabs>
          <w:tab w:val="left" w:pos="1637"/>
          <w:tab w:val="left" w:pos="1639"/>
        </w:tabs>
        <w:spacing w:before="69"/>
        <w:ind w:firstLine="0"/>
        <w:jc w:val="both"/>
        <w:rPr>
          <w:b/>
          <w:sz w:val="24"/>
        </w:rPr>
      </w:pPr>
    </w:p>
    <w:p w14:paraId="52BFCDFA" w14:textId="5F77885B" w:rsidR="006D724E" w:rsidRDefault="009F37FD" w:rsidP="006D724E">
      <w:pPr>
        <w:pStyle w:val="BodyText"/>
        <w:ind w:left="917" w:right="1061"/>
        <w:jc w:val="both"/>
      </w:pPr>
      <w:r w:rsidRPr="000E2FEC">
        <w:t>The Governing Body of schools that are included within a PFI scheme will sign an agreement at the time of the contract signing</w:t>
      </w:r>
      <w:r w:rsidR="00372F18">
        <w:t>.  This governing b</w:t>
      </w:r>
      <w:r w:rsidRPr="000E2FEC">
        <w:t xml:space="preserve">ody agreement stipulates the level of the school’s contribution towards the unitary charge from their delegated budget.  It also defines the share to be credited to the schools of any deductions in the unitary charge for performance and availability failures.  The </w:t>
      </w:r>
      <w:r w:rsidR="00372F18">
        <w:t>governing b</w:t>
      </w:r>
      <w:r w:rsidRPr="000E2FEC">
        <w:t xml:space="preserve">ody agreement also sets out any potential liabilities of the school / </w:t>
      </w:r>
      <w:r w:rsidR="00372F18">
        <w:t>governing b</w:t>
      </w:r>
      <w:r w:rsidRPr="000E2FEC">
        <w:t>ody resulting from their actions over the life of the contract.</w:t>
      </w:r>
    </w:p>
    <w:p w14:paraId="52BFCDFB" w14:textId="77777777" w:rsidR="006D724E" w:rsidRPr="000E2FEC" w:rsidRDefault="006D724E" w:rsidP="006D724E">
      <w:pPr>
        <w:pStyle w:val="BodyText"/>
        <w:ind w:left="917" w:right="1061"/>
        <w:jc w:val="both"/>
      </w:pPr>
    </w:p>
    <w:p w14:paraId="52BFCDFC" w14:textId="6BC6D139" w:rsidR="006D724E" w:rsidRPr="000E2FEC" w:rsidRDefault="009F37FD" w:rsidP="006D724E">
      <w:pPr>
        <w:pStyle w:val="BodyText"/>
        <w:ind w:left="917" w:right="1061"/>
        <w:jc w:val="both"/>
      </w:pPr>
      <w:r w:rsidRPr="000E2FEC">
        <w:t xml:space="preserve">Separately to the </w:t>
      </w:r>
      <w:r w:rsidR="00372F18">
        <w:t>governing b</w:t>
      </w:r>
      <w:r w:rsidRPr="000E2FEC">
        <w:t xml:space="preserve">ody agreement defined revenue contributions from schools listed above, </w:t>
      </w:r>
      <w:proofErr w:type="gramStart"/>
      <w:r w:rsidRPr="000E2FEC">
        <w:t>as a result of</w:t>
      </w:r>
      <w:proofErr w:type="gramEnd"/>
      <w:r w:rsidRPr="000E2FEC">
        <w:t xml:space="preserve"> the 2013/14 Education Funding Reforms previously centrally retained DSG funding which contributed towards the affordability of PFI and FM contracts should be delegated to schools through the Schools Block PFI funding factor.  This funding </w:t>
      </w:r>
      <w:proofErr w:type="gramStart"/>
      <w:r w:rsidRPr="000E2FEC">
        <w:t>has to</w:t>
      </w:r>
      <w:proofErr w:type="gramEnd"/>
      <w:r w:rsidRPr="000E2FEC">
        <w:t xml:space="preserve"> be repaid by the schools and academies concerned to the Authority who meet the costs of the associated costs directly.</w:t>
      </w:r>
    </w:p>
    <w:p w14:paraId="52BFCDFD" w14:textId="77777777" w:rsidR="006D724E" w:rsidRPr="000E2FEC" w:rsidRDefault="006D724E" w:rsidP="006D724E">
      <w:pPr>
        <w:pStyle w:val="BodyText"/>
        <w:ind w:left="917" w:right="1061"/>
        <w:jc w:val="both"/>
      </w:pPr>
    </w:p>
    <w:p w14:paraId="52BFCDFE" w14:textId="77777777" w:rsidR="006D724E" w:rsidRDefault="006D724E" w:rsidP="006D724E">
      <w:pPr>
        <w:pStyle w:val="BodyText"/>
        <w:jc w:val="both"/>
        <w:rPr>
          <w:sz w:val="20"/>
        </w:rPr>
      </w:pPr>
    </w:p>
    <w:p w14:paraId="52BFCDFF" w14:textId="77777777" w:rsidR="006D724E" w:rsidRDefault="006D724E" w:rsidP="006D724E">
      <w:pPr>
        <w:pStyle w:val="BodyText"/>
        <w:jc w:val="both"/>
        <w:rPr>
          <w:sz w:val="20"/>
        </w:rPr>
      </w:pPr>
    </w:p>
    <w:p w14:paraId="52BFCE00" w14:textId="77777777" w:rsidR="006D724E" w:rsidRDefault="006D724E" w:rsidP="006D724E">
      <w:pPr>
        <w:pStyle w:val="BodyText"/>
        <w:jc w:val="both"/>
        <w:rPr>
          <w:sz w:val="20"/>
        </w:rPr>
      </w:pPr>
    </w:p>
    <w:p w14:paraId="52BFCE01" w14:textId="77777777" w:rsidR="006D724E" w:rsidRDefault="006D724E" w:rsidP="006D724E">
      <w:pPr>
        <w:pStyle w:val="BodyText"/>
        <w:jc w:val="both"/>
        <w:rPr>
          <w:sz w:val="20"/>
        </w:rPr>
      </w:pPr>
    </w:p>
    <w:p w14:paraId="52BFCE02" w14:textId="77777777" w:rsidR="006D724E" w:rsidRDefault="006D724E" w:rsidP="006D724E">
      <w:pPr>
        <w:pStyle w:val="BodyText"/>
        <w:jc w:val="both"/>
        <w:rPr>
          <w:sz w:val="20"/>
        </w:rPr>
      </w:pPr>
    </w:p>
    <w:p w14:paraId="52BFCE03" w14:textId="77777777" w:rsidR="006D724E" w:rsidRDefault="006D724E" w:rsidP="006D724E">
      <w:pPr>
        <w:pStyle w:val="BodyText"/>
        <w:jc w:val="both"/>
        <w:rPr>
          <w:sz w:val="20"/>
        </w:rPr>
      </w:pPr>
    </w:p>
    <w:p w14:paraId="52BFCE04" w14:textId="77777777" w:rsidR="006D724E" w:rsidRDefault="006D724E" w:rsidP="006D724E">
      <w:pPr>
        <w:pStyle w:val="BodyText"/>
        <w:jc w:val="both"/>
        <w:rPr>
          <w:sz w:val="20"/>
        </w:rPr>
      </w:pPr>
    </w:p>
    <w:p w14:paraId="52BFCE05" w14:textId="77777777" w:rsidR="006D724E" w:rsidRDefault="006D724E" w:rsidP="006D724E">
      <w:pPr>
        <w:pStyle w:val="BodyText"/>
        <w:jc w:val="both"/>
        <w:rPr>
          <w:sz w:val="20"/>
        </w:rPr>
      </w:pPr>
    </w:p>
    <w:p w14:paraId="52BFCE06" w14:textId="77777777" w:rsidR="006D724E" w:rsidRDefault="006D724E" w:rsidP="006D724E">
      <w:pPr>
        <w:pStyle w:val="BodyText"/>
        <w:jc w:val="both"/>
        <w:rPr>
          <w:sz w:val="20"/>
        </w:rPr>
      </w:pPr>
    </w:p>
    <w:p w14:paraId="52BFCE07" w14:textId="77777777" w:rsidR="006D724E" w:rsidRDefault="006D724E" w:rsidP="006D724E">
      <w:pPr>
        <w:pStyle w:val="BodyText"/>
        <w:jc w:val="both"/>
        <w:rPr>
          <w:sz w:val="20"/>
        </w:rPr>
      </w:pPr>
    </w:p>
    <w:p w14:paraId="52BFCE08" w14:textId="77777777" w:rsidR="006D724E" w:rsidRDefault="006D724E" w:rsidP="006D724E">
      <w:pPr>
        <w:pStyle w:val="BodyText"/>
        <w:jc w:val="both"/>
        <w:rPr>
          <w:sz w:val="20"/>
        </w:rPr>
      </w:pPr>
    </w:p>
    <w:p w14:paraId="52BFCE2E"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Insurance</w:t>
      </w:r>
    </w:p>
    <w:p w14:paraId="52BFCE2F" w14:textId="77777777" w:rsidR="006D724E" w:rsidRPr="00610345" w:rsidRDefault="006D724E" w:rsidP="006D724E">
      <w:pPr>
        <w:pStyle w:val="BodyText"/>
        <w:spacing w:before="4"/>
        <w:jc w:val="both"/>
        <w:rPr>
          <w:b/>
        </w:rPr>
      </w:pPr>
    </w:p>
    <w:p w14:paraId="52BFCE30" w14:textId="7D0D3B10" w:rsidR="006D724E" w:rsidRDefault="009F37FD" w:rsidP="006D724E">
      <w:pPr>
        <w:pStyle w:val="ListParagraph"/>
        <w:numPr>
          <w:ilvl w:val="1"/>
          <w:numId w:val="5"/>
        </w:numPr>
        <w:tabs>
          <w:tab w:val="left" w:pos="1639"/>
        </w:tabs>
        <w:jc w:val="both"/>
        <w:rPr>
          <w:b/>
          <w:sz w:val="28"/>
        </w:rPr>
      </w:pPr>
      <w:r>
        <w:rPr>
          <w:b/>
          <w:sz w:val="28"/>
        </w:rPr>
        <w:t>Insurance</w:t>
      </w:r>
      <w:r>
        <w:rPr>
          <w:b/>
          <w:spacing w:val="-3"/>
          <w:sz w:val="28"/>
        </w:rPr>
        <w:t xml:space="preserve"> </w:t>
      </w:r>
      <w:r w:rsidR="00B158BB">
        <w:rPr>
          <w:b/>
          <w:sz w:val="28"/>
        </w:rPr>
        <w:t>C</w:t>
      </w:r>
      <w:r>
        <w:rPr>
          <w:b/>
          <w:sz w:val="28"/>
        </w:rPr>
        <w:t>over</w:t>
      </w:r>
    </w:p>
    <w:p w14:paraId="0E93A634" w14:textId="77777777" w:rsidR="00EE7C68" w:rsidRPr="00EE7C68" w:rsidRDefault="00EE7C68" w:rsidP="00EE7C68">
      <w:pPr>
        <w:tabs>
          <w:tab w:val="left" w:pos="1639"/>
        </w:tabs>
        <w:ind w:left="917"/>
        <w:jc w:val="both"/>
        <w:rPr>
          <w:b/>
          <w:sz w:val="24"/>
        </w:rPr>
      </w:pPr>
    </w:p>
    <w:p w14:paraId="52BFCE31" w14:textId="77777777" w:rsidR="006D724E" w:rsidRDefault="009F37FD" w:rsidP="00EE7C68">
      <w:pPr>
        <w:pStyle w:val="BodyText"/>
        <w:ind w:left="919" w:right="1060"/>
        <w:jc w:val="both"/>
      </w:pPr>
      <w:r w:rsidRPr="0017132A">
        <w:rPr>
          <w:color w:val="000000"/>
        </w:rPr>
        <w:t>T</w:t>
      </w:r>
      <w:r w:rsidRPr="007C339E">
        <w:t xml:space="preserve">he Authority shall require schools that choose to negotiate their own insurance to demonstrate that any such insurance covers the Authority’s insurable interest, at a level which covers a reasonable assessment of the risks at the individual school.  In such circumstances, great care must be taken to ensure that schools are fully aware of the insurance protection which is being provided and the risks which are not insured.  When comparing premium quotations with </w:t>
      </w:r>
      <w:r>
        <w:t>the DfE RPA</w:t>
      </w:r>
      <w:r w:rsidRPr="007C339E">
        <w:t xml:space="preserve"> scheme, it is essential to make certain that the comparison is on a like for like basis.  Where a school cannot demonstrate this, the Authority may refuse the school’s request for alternative insurance provision.</w:t>
      </w:r>
    </w:p>
    <w:p w14:paraId="6604E0DA" w14:textId="77777777" w:rsidR="00EE7C68" w:rsidRPr="007C339E" w:rsidRDefault="00EE7C68" w:rsidP="00EE7C68">
      <w:pPr>
        <w:pStyle w:val="BodyText"/>
        <w:ind w:left="919" w:right="1060"/>
        <w:jc w:val="both"/>
      </w:pPr>
    </w:p>
    <w:p w14:paraId="52BFCE32" w14:textId="77777777" w:rsidR="006D724E" w:rsidRDefault="009F37FD" w:rsidP="00EE7C68">
      <w:pPr>
        <w:pStyle w:val="BodyText"/>
        <w:ind w:left="919" w:right="1060"/>
        <w:jc w:val="both"/>
      </w:pPr>
      <w:r w:rsidRPr="0017132A">
        <w:t>Schools must contact the Authority’s Risk and Insurance Team to determine if any quotation received meets the Authority’s minimum requirements.</w:t>
      </w:r>
    </w:p>
    <w:p w14:paraId="0970E34E" w14:textId="77777777" w:rsidR="00EE7C68" w:rsidRPr="0017132A" w:rsidRDefault="00EE7C68" w:rsidP="00EE7C68">
      <w:pPr>
        <w:pStyle w:val="BodyText"/>
        <w:ind w:left="919" w:right="1060"/>
        <w:jc w:val="both"/>
      </w:pPr>
    </w:p>
    <w:p w14:paraId="52BFCE33" w14:textId="77777777" w:rsidR="006D724E" w:rsidRDefault="009F37FD" w:rsidP="00EE7C68">
      <w:pPr>
        <w:pStyle w:val="BodyText"/>
        <w:ind w:left="919" w:right="1060"/>
        <w:jc w:val="both"/>
      </w:pPr>
      <w:r w:rsidRPr="0017132A">
        <w:t xml:space="preserve">Any additional insurance cost the Authority incurs </w:t>
      </w:r>
      <w:proofErr w:type="gramStart"/>
      <w:r w:rsidRPr="0017132A">
        <w:t>as a result of</w:t>
      </w:r>
      <w:proofErr w:type="gramEnd"/>
      <w:r w:rsidRPr="0017132A">
        <w:t xml:space="preserve"> a school failing to demonstrate they have adequate cover in place will be charged to the schools budget share (see section 6.2.6).</w:t>
      </w:r>
    </w:p>
    <w:p w14:paraId="7B11D531" w14:textId="77777777" w:rsidR="00EE7C68" w:rsidRDefault="00EE7C68" w:rsidP="00EE7C68">
      <w:pPr>
        <w:pStyle w:val="BodyText"/>
        <w:ind w:left="919" w:right="1060"/>
        <w:jc w:val="both"/>
      </w:pPr>
    </w:p>
    <w:p w14:paraId="52BFCE34" w14:textId="7FF1BFF8" w:rsidR="006D724E" w:rsidRPr="00F478D7" w:rsidRDefault="009F37FD" w:rsidP="00EE7C68">
      <w:pPr>
        <w:pStyle w:val="BodyText"/>
        <w:ind w:left="919" w:right="1060"/>
        <w:jc w:val="both"/>
        <w:rPr>
          <w:lang w:val="en"/>
        </w:rPr>
      </w:pPr>
      <w:r w:rsidRPr="006D724E">
        <w:rPr>
          <w:lang w:val="en"/>
        </w:rPr>
        <w:t xml:space="preserve">Instead of taking out insurance, a school may join the Secretary of State’s Risk Protection Arrangement (RPA) for risks that are covered by the RPA.  Schools can join the RPA after 1 April 2020. </w:t>
      </w:r>
      <w:r w:rsidR="003C47B6">
        <w:rPr>
          <w:lang w:val="en"/>
        </w:rPr>
        <w:t xml:space="preserve"> </w:t>
      </w:r>
      <w:r w:rsidRPr="006D724E">
        <w:rPr>
          <w:lang w:val="en"/>
        </w:rPr>
        <w:t>Schools may do this individually when any insurance contract of which they are part expires.  All primary and/or secondary maintained schools will also have the option to join the RPA collectively by agreeing through the Schools</w:t>
      </w:r>
      <w:r w:rsidR="003C47B6">
        <w:rPr>
          <w:lang w:val="en"/>
        </w:rPr>
        <w:t>’</w:t>
      </w:r>
      <w:r w:rsidRPr="006D724E">
        <w:rPr>
          <w:lang w:val="en"/>
        </w:rPr>
        <w:t xml:space="preserve"> Forum to de-delegate funding.</w:t>
      </w:r>
    </w:p>
    <w:p w14:paraId="52BFCE35" w14:textId="77777777" w:rsidR="006D724E" w:rsidRPr="0017132A" w:rsidRDefault="006D724E" w:rsidP="006D724E">
      <w:pPr>
        <w:pStyle w:val="BodyText"/>
        <w:spacing w:before="255"/>
        <w:ind w:left="917" w:right="1221"/>
        <w:jc w:val="both"/>
      </w:pPr>
    </w:p>
    <w:p w14:paraId="52BFCE41" w14:textId="77777777" w:rsidR="006D724E" w:rsidRDefault="006D724E" w:rsidP="006D724E">
      <w:pPr>
        <w:pStyle w:val="BodyText"/>
        <w:jc w:val="both"/>
        <w:rPr>
          <w:sz w:val="20"/>
        </w:rPr>
      </w:pPr>
    </w:p>
    <w:p w14:paraId="52BFCE42" w14:textId="77777777" w:rsidR="006D724E" w:rsidRDefault="006D724E" w:rsidP="006D724E">
      <w:pPr>
        <w:pStyle w:val="BodyText"/>
        <w:jc w:val="both"/>
        <w:rPr>
          <w:sz w:val="20"/>
        </w:rPr>
      </w:pPr>
    </w:p>
    <w:p w14:paraId="52BFCE43" w14:textId="77777777" w:rsidR="006D724E" w:rsidRDefault="006D724E" w:rsidP="006D724E">
      <w:pPr>
        <w:pStyle w:val="BodyText"/>
        <w:jc w:val="both"/>
        <w:rPr>
          <w:sz w:val="20"/>
        </w:rPr>
      </w:pPr>
    </w:p>
    <w:p w14:paraId="52BFCE44" w14:textId="77777777" w:rsidR="006D724E" w:rsidRDefault="006D724E" w:rsidP="006D724E">
      <w:pPr>
        <w:pStyle w:val="BodyText"/>
        <w:jc w:val="both"/>
        <w:rPr>
          <w:sz w:val="20"/>
        </w:rPr>
      </w:pPr>
    </w:p>
    <w:p w14:paraId="52BFCE45" w14:textId="77777777" w:rsidR="006D724E" w:rsidRDefault="006D724E" w:rsidP="006D724E">
      <w:pPr>
        <w:pStyle w:val="BodyText"/>
        <w:jc w:val="both"/>
        <w:rPr>
          <w:sz w:val="20"/>
        </w:rPr>
      </w:pPr>
    </w:p>
    <w:p w14:paraId="52BFCE46" w14:textId="77777777" w:rsidR="006D724E" w:rsidRDefault="006D724E" w:rsidP="006D724E">
      <w:pPr>
        <w:pStyle w:val="BodyText"/>
        <w:jc w:val="both"/>
        <w:rPr>
          <w:sz w:val="20"/>
        </w:rPr>
      </w:pPr>
    </w:p>
    <w:p w14:paraId="52BFCE47" w14:textId="77777777" w:rsidR="006D724E" w:rsidRDefault="006D724E" w:rsidP="006D724E">
      <w:pPr>
        <w:pStyle w:val="BodyText"/>
        <w:jc w:val="both"/>
        <w:rPr>
          <w:sz w:val="20"/>
        </w:rPr>
      </w:pPr>
    </w:p>
    <w:p w14:paraId="52BFCE48" w14:textId="77777777" w:rsidR="006D724E" w:rsidRDefault="006D724E" w:rsidP="006D724E">
      <w:pPr>
        <w:pStyle w:val="BodyText"/>
        <w:jc w:val="both"/>
        <w:rPr>
          <w:sz w:val="20"/>
        </w:rPr>
      </w:pPr>
    </w:p>
    <w:p w14:paraId="52BFCE49" w14:textId="77777777" w:rsidR="006D724E" w:rsidRDefault="006D724E" w:rsidP="006D724E">
      <w:pPr>
        <w:pStyle w:val="BodyText"/>
        <w:jc w:val="both"/>
        <w:rPr>
          <w:sz w:val="20"/>
        </w:rPr>
      </w:pPr>
    </w:p>
    <w:p w14:paraId="52BFCE4A" w14:textId="77777777" w:rsidR="006D724E" w:rsidRDefault="006D724E" w:rsidP="006D724E">
      <w:pPr>
        <w:pStyle w:val="BodyText"/>
        <w:spacing w:before="5"/>
        <w:jc w:val="both"/>
        <w:rPr>
          <w:sz w:val="20"/>
        </w:rPr>
      </w:pPr>
    </w:p>
    <w:p w14:paraId="52BFCE4B" w14:textId="77777777" w:rsidR="006D724E" w:rsidRDefault="006D724E" w:rsidP="006D724E">
      <w:pPr>
        <w:jc w:val="both"/>
        <w:sectPr w:rsidR="006D724E">
          <w:pgSz w:w="11910" w:h="16840"/>
          <w:pgMar w:top="760" w:right="140" w:bottom="280" w:left="220" w:header="720" w:footer="720" w:gutter="0"/>
          <w:cols w:space="720"/>
        </w:sectPr>
      </w:pPr>
    </w:p>
    <w:p w14:paraId="52BFCE4C"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Miscellaneous</w:t>
      </w:r>
    </w:p>
    <w:p w14:paraId="52BFCE4D" w14:textId="77777777" w:rsidR="006D724E" w:rsidRPr="00610345" w:rsidRDefault="006D724E" w:rsidP="006D724E">
      <w:pPr>
        <w:pStyle w:val="BodyText"/>
        <w:spacing w:before="3"/>
        <w:jc w:val="both"/>
        <w:rPr>
          <w:b/>
        </w:rPr>
      </w:pPr>
    </w:p>
    <w:p w14:paraId="52BFCE4E" w14:textId="63410EAE" w:rsidR="006D724E" w:rsidRPr="004C4563" w:rsidRDefault="00B158BB" w:rsidP="006D724E">
      <w:pPr>
        <w:pStyle w:val="ListParagraph"/>
        <w:numPr>
          <w:ilvl w:val="1"/>
          <w:numId w:val="5"/>
        </w:numPr>
        <w:tabs>
          <w:tab w:val="left" w:pos="1637"/>
          <w:tab w:val="left" w:pos="1639"/>
        </w:tabs>
        <w:jc w:val="both"/>
        <w:rPr>
          <w:b/>
          <w:sz w:val="28"/>
        </w:rPr>
      </w:pPr>
      <w:r>
        <w:rPr>
          <w:b/>
          <w:sz w:val="28"/>
        </w:rPr>
        <w:t>Right of A</w:t>
      </w:r>
      <w:r w:rsidR="009F37FD" w:rsidRPr="004C4563">
        <w:rPr>
          <w:b/>
          <w:sz w:val="28"/>
        </w:rPr>
        <w:t>ccess to</w:t>
      </w:r>
      <w:r w:rsidR="009F37FD" w:rsidRPr="004C4563">
        <w:rPr>
          <w:b/>
          <w:spacing w:val="-3"/>
          <w:sz w:val="28"/>
        </w:rPr>
        <w:t xml:space="preserve"> </w:t>
      </w:r>
      <w:r>
        <w:rPr>
          <w:b/>
          <w:spacing w:val="-3"/>
          <w:sz w:val="28"/>
        </w:rPr>
        <w:t>I</w:t>
      </w:r>
      <w:r w:rsidR="009F37FD" w:rsidRPr="004C4563">
        <w:rPr>
          <w:b/>
          <w:sz w:val="28"/>
        </w:rPr>
        <w:t>nformation</w:t>
      </w:r>
    </w:p>
    <w:p w14:paraId="52BFCE4F" w14:textId="4D58D73D" w:rsidR="006D724E" w:rsidRPr="0017132A" w:rsidRDefault="009F37FD" w:rsidP="00610345">
      <w:pPr>
        <w:pStyle w:val="BodyText"/>
        <w:ind w:left="917" w:right="1060"/>
        <w:jc w:val="both"/>
        <w:rPr>
          <w:color w:val="000000"/>
        </w:rPr>
      </w:pPr>
      <w:r w:rsidRPr="0017132A">
        <w:rPr>
          <w:color w:val="000000"/>
        </w:rPr>
        <w:t xml:space="preserve">Schools shall submit to the Authority such financial </w:t>
      </w:r>
      <w:r>
        <w:rPr>
          <w:color w:val="000000"/>
        </w:rPr>
        <w:t xml:space="preserve">and other information, when requested by officers of the Authority (including Internal Audit officers), </w:t>
      </w:r>
      <w:r w:rsidRPr="0017132A">
        <w:rPr>
          <w:color w:val="000000"/>
        </w:rPr>
        <w:t xml:space="preserve">which the Authority requires to satisfy itself that the school is properly managing its delegated budget, and which the Authority requires for the efficient running of its functions and responsibilities, for example, where a school has elected not to purchase the Authority’s </w:t>
      </w:r>
      <w:r>
        <w:rPr>
          <w:color w:val="000000"/>
        </w:rPr>
        <w:t>Financial</w:t>
      </w:r>
      <w:r w:rsidRPr="0017132A">
        <w:rPr>
          <w:color w:val="000000"/>
        </w:rPr>
        <w:t xml:space="preserve"> Management Service, it will continue to have to provide the Authority with VAT Submittals, Budget Plans, CFR data</w:t>
      </w:r>
      <w:r w:rsidR="00B36725">
        <w:rPr>
          <w:color w:val="000000"/>
        </w:rPr>
        <w:t xml:space="preserve"> and other ad-hoc information. </w:t>
      </w:r>
      <w:proofErr w:type="gramStart"/>
      <w:r w:rsidRPr="0017132A">
        <w:rPr>
          <w:color w:val="000000"/>
        </w:rPr>
        <w:t>In the event that</w:t>
      </w:r>
      <w:proofErr w:type="gramEnd"/>
      <w:r w:rsidRPr="0017132A">
        <w:rPr>
          <w:color w:val="000000"/>
        </w:rPr>
        <w:t xml:space="preserve"> a school wishes to appeal against the Authority’s request for information, any dispute shall be resolved in consultation with the Schools</w:t>
      </w:r>
      <w:r w:rsidR="00502331">
        <w:rPr>
          <w:color w:val="000000"/>
        </w:rPr>
        <w:t>’</w:t>
      </w:r>
      <w:r w:rsidRPr="0017132A">
        <w:rPr>
          <w:color w:val="000000"/>
        </w:rPr>
        <w:t xml:space="preserve"> Forum.  Where earmarked funding has been devolved to a school, it shall comply with the Authority’s request for information as part of the arrangements for devolution.</w:t>
      </w:r>
    </w:p>
    <w:p w14:paraId="52BFCE50" w14:textId="77777777" w:rsidR="006D724E" w:rsidRPr="00B36725" w:rsidRDefault="006D724E" w:rsidP="006D724E">
      <w:pPr>
        <w:pStyle w:val="BodyText"/>
        <w:jc w:val="both"/>
      </w:pPr>
    </w:p>
    <w:p w14:paraId="52BFCE51" w14:textId="292F1FDA" w:rsidR="006D724E" w:rsidRPr="004C4563" w:rsidRDefault="009F37FD" w:rsidP="006D724E">
      <w:pPr>
        <w:pStyle w:val="ListParagraph"/>
        <w:numPr>
          <w:ilvl w:val="1"/>
          <w:numId w:val="5"/>
        </w:numPr>
        <w:tabs>
          <w:tab w:val="left" w:pos="1637"/>
          <w:tab w:val="left" w:pos="1639"/>
        </w:tabs>
        <w:jc w:val="both"/>
        <w:rPr>
          <w:b/>
          <w:sz w:val="28"/>
        </w:rPr>
      </w:pPr>
      <w:r w:rsidRPr="004C4563">
        <w:rPr>
          <w:b/>
          <w:sz w:val="28"/>
        </w:rPr>
        <w:t>Liability of</w:t>
      </w:r>
      <w:r w:rsidRPr="004C4563">
        <w:rPr>
          <w:b/>
          <w:spacing w:val="-8"/>
          <w:sz w:val="28"/>
        </w:rPr>
        <w:t xml:space="preserve"> </w:t>
      </w:r>
      <w:r w:rsidR="00B158BB">
        <w:rPr>
          <w:b/>
          <w:sz w:val="28"/>
        </w:rPr>
        <w:t>G</w:t>
      </w:r>
      <w:r w:rsidRPr="004C4563">
        <w:rPr>
          <w:b/>
          <w:sz w:val="28"/>
        </w:rPr>
        <w:t>overnors</w:t>
      </w:r>
    </w:p>
    <w:p w14:paraId="52BFCE52" w14:textId="77777777" w:rsidR="006D724E" w:rsidRPr="00C96F98" w:rsidRDefault="009F37FD" w:rsidP="00B36725">
      <w:pPr>
        <w:pStyle w:val="BodyText"/>
        <w:ind w:left="917" w:right="1060"/>
        <w:jc w:val="both"/>
        <w:rPr>
          <w:color w:val="000000"/>
        </w:rPr>
      </w:pPr>
      <w:r w:rsidRPr="00C96F98">
        <w:rPr>
          <w:color w:val="000000"/>
        </w:rPr>
        <w:t xml:space="preserve">The Governing Body of a maintained school is a corporate body and therefore because of this and s.50(7) of the Standards and Framework Act 1998, Governors will not incur any personal or individual liability in the exercise of their power to spend the school budget share </w:t>
      </w:r>
      <w:proofErr w:type="gramStart"/>
      <w:r w:rsidRPr="00C96F98">
        <w:rPr>
          <w:color w:val="000000"/>
        </w:rPr>
        <w:t>provided that</w:t>
      </w:r>
      <w:proofErr w:type="gramEnd"/>
      <w:r w:rsidRPr="00C96F98">
        <w:rPr>
          <w:color w:val="000000"/>
        </w:rPr>
        <w:t xml:space="preserve"> they have acted in good faith.  Breaches of this Scheme are not in themselves regarded as failures to act in good faith although they could lead to removal of delegation.</w:t>
      </w:r>
    </w:p>
    <w:p w14:paraId="52BFCE53" w14:textId="77777777" w:rsidR="006D724E" w:rsidRPr="00B36725" w:rsidRDefault="006D724E" w:rsidP="006D724E">
      <w:pPr>
        <w:pStyle w:val="BodyText"/>
        <w:jc w:val="both"/>
      </w:pPr>
    </w:p>
    <w:p w14:paraId="52BFCE55" w14:textId="53904F27" w:rsidR="006D724E" w:rsidRPr="004C4563" w:rsidRDefault="009F37FD" w:rsidP="006D724E">
      <w:pPr>
        <w:pStyle w:val="Heading2"/>
        <w:numPr>
          <w:ilvl w:val="1"/>
          <w:numId w:val="2"/>
        </w:numPr>
        <w:tabs>
          <w:tab w:val="left" w:pos="1637"/>
          <w:tab w:val="left" w:pos="1639"/>
        </w:tabs>
        <w:jc w:val="both"/>
        <w:rPr>
          <w:sz w:val="28"/>
        </w:rPr>
      </w:pPr>
      <w:r w:rsidRPr="004C4563">
        <w:rPr>
          <w:sz w:val="28"/>
        </w:rPr>
        <w:t>Governors Allowances</w:t>
      </w:r>
    </w:p>
    <w:p w14:paraId="52BFCE56" w14:textId="77777777" w:rsidR="006D724E" w:rsidRDefault="009F37FD" w:rsidP="00B36725">
      <w:pPr>
        <w:pStyle w:val="BodyText"/>
        <w:ind w:left="917" w:right="1060"/>
        <w:jc w:val="both"/>
        <w:rPr>
          <w:color w:val="000000"/>
        </w:rPr>
      </w:pPr>
      <w:r w:rsidRPr="0017132A">
        <w:rPr>
          <w:color w:val="000000"/>
        </w:rPr>
        <w:t>The Authority may delegate to the Governing Body of a school yet to receive a delegated budget, funds to meet Governors' expenses.</w:t>
      </w:r>
    </w:p>
    <w:p w14:paraId="52BFCE57" w14:textId="77777777" w:rsidR="006D724E" w:rsidRPr="0017132A" w:rsidRDefault="006D724E" w:rsidP="00B36725">
      <w:pPr>
        <w:pStyle w:val="BodyText"/>
        <w:ind w:left="919" w:right="1060"/>
        <w:jc w:val="both"/>
        <w:rPr>
          <w:color w:val="000000"/>
        </w:rPr>
      </w:pPr>
    </w:p>
    <w:p w14:paraId="52BFCE58" w14:textId="7202F025" w:rsidR="006D724E" w:rsidRDefault="009F37FD" w:rsidP="00B36725">
      <w:pPr>
        <w:pStyle w:val="BodyText"/>
        <w:ind w:left="919" w:right="1060"/>
        <w:jc w:val="both"/>
        <w:rPr>
          <w:color w:val="000000"/>
        </w:rPr>
      </w:pPr>
      <w:r w:rsidRPr="0017132A">
        <w:rPr>
          <w:color w:val="000000"/>
        </w:rPr>
        <w:t>Schools may elect to pay from their delegated budgets expenses for Governors, which are considered reasonable.  Costs that would be deemed reasonable are out of pocket expenses and supported by a receipt.  Under section 50(5) of the Act, only allowances in respect of purposes specified in regulations made under section 19 of the Education Act 2002 may be paid to Governors from a school's delegated budget share.  The schools are not allowed to pay any Governor</w:t>
      </w:r>
      <w:r w:rsidR="00502331">
        <w:rPr>
          <w:color w:val="000000"/>
        </w:rPr>
        <w:t>’</w:t>
      </w:r>
      <w:r w:rsidRPr="0017132A">
        <w:rPr>
          <w:color w:val="000000"/>
        </w:rPr>
        <w:t>s expenses that are not provided for above.</w:t>
      </w:r>
    </w:p>
    <w:p w14:paraId="52BFCE59" w14:textId="77777777" w:rsidR="006D724E" w:rsidRPr="0017132A" w:rsidRDefault="006D724E" w:rsidP="006D724E">
      <w:pPr>
        <w:pStyle w:val="BodyText"/>
        <w:ind w:left="917" w:right="1221"/>
        <w:jc w:val="both"/>
        <w:rPr>
          <w:color w:val="000000"/>
        </w:rPr>
      </w:pPr>
    </w:p>
    <w:p w14:paraId="52BFCE5A" w14:textId="3D7002B7" w:rsidR="006D724E" w:rsidRPr="0017132A" w:rsidRDefault="009F37FD" w:rsidP="00B36725">
      <w:pPr>
        <w:pStyle w:val="BodyText"/>
        <w:ind w:left="919" w:right="1060"/>
        <w:jc w:val="both"/>
        <w:rPr>
          <w:color w:val="000000"/>
        </w:rPr>
      </w:pPr>
      <w:r w:rsidRPr="0017132A">
        <w:rPr>
          <w:color w:val="000000"/>
        </w:rPr>
        <w:t xml:space="preserve">Where a school is placed in special measures and the Secretary of State has exercised his power to appoint additional Governors then the </w:t>
      </w:r>
      <w:r w:rsidR="00502331">
        <w:rPr>
          <w:color w:val="000000"/>
        </w:rPr>
        <w:t>g</w:t>
      </w:r>
      <w:r w:rsidRPr="0017132A">
        <w:rPr>
          <w:color w:val="000000"/>
        </w:rPr>
        <w:t xml:space="preserve">overning </w:t>
      </w:r>
      <w:r w:rsidR="00BA5065">
        <w:rPr>
          <w:color w:val="000000"/>
        </w:rPr>
        <w:t>b</w:t>
      </w:r>
      <w:r w:rsidR="00BA5065" w:rsidRPr="0017132A">
        <w:rPr>
          <w:color w:val="000000"/>
        </w:rPr>
        <w:t>ody</w:t>
      </w:r>
      <w:r w:rsidRPr="0017132A">
        <w:rPr>
          <w:color w:val="000000"/>
        </w:rPr>
        <w:t xml:space="preserve"> are not permitted to pay expenses to such Governors, which duplicate any expenses being met by the Secretary of State.</w:t>
      </w:r>
    </w:p>
    <w:p w14:paraId="52BFCE5B" w14:textId="77777777" w:rsidR="006D724E" w:rsidRPr="00B36725" w:rsidRDefault="006D724E" w:rsidP="006D724E">
      <w:pPr>
        <w:pStyle w:val="BodyText"/>
        <w:jc w:val="both"/>
      </w:pPr>
    </w:p>
    <w:p w14:paraId="52BFCE5C" w14:textId="16E7C56B" w:rsidR="006D724E" w:rsidRPr="004C4563" w:rsidRDefault="00B158BB" w:rsidP="006D724E">
      <w:pPr>
        <w:pStyle w:val="Heading2"/>
        <w:numPr>
          <w:ilvl w:val="1"/>
          <w:numId w:val="2"/>
        </w:numPr>
        <w:tabs>
          <w:tab w:val="left" w:pos="1637"/>
          <w:tab w:val="left" w:pos="1639"/>
        </w:tabs>
        <w:jc w:val="both"/>
        <w:rPr>
          <w:sz w:val="28"/>
        </w:rPr>
      </w:pPr>
      <w:r>
        <w:rPr>
          <w:sz w:val="28"/>
        </w:rPr>
        <w:t>Responsibility for L</w:t>
      </w:r>
      <w:r w:rsidR="009F37FD" w:rsidRPr="004C4563">
        <w:rPr>
          <w:sz w:val="28"/>
        </w:rPr>
        <w:t>egal</w:t>
      </w:r>
      <w:r w:rsidR="009F37FD" w:rsidRPr="004C4563">
        <w:rPr>
          <w:spacing w:val="-7"/>
          <w:sz w:val="28"/>
        </w:rPr>
        <w:t xml:space="preserve"> </w:t>
      </w:r>
      <w:r>
        <w:rPr>
          <w:sz w:val="28"/>
        </w:rPr>
        <w:t>C</w:t>
      </w:r>
      <w:r w:rsidR="009F37FD" w:rsidRPr="004C4563">
        <w:rPr>
          <w:sz w:val="28"/>
        </w:rPr>
        <w:t>osts</w:t>
      </w:r>
    </w:p>
    <w:p w14:paraId="52BFCE5D" w14:textId="512820BC" w:rsidR="006D724E" w:rsidRPr="0017132A" w:rsidRDefault="009F37FD" w:rsidP="00B36725">
      <w:pPr>
        <w:pStyle w:val="BodyText"/>
        <w:ind w:left="917" w:right="1060"/>
        <w:jc w:val="both"/>
        <w:rPr>
          <w:color w:val="000000"/>
        </w:rPr>
      </w:pPr>
      <w:r w:rsidRPr="0017132A">
        <w:rPr>
          <w:color w:val="000000"/>
        </w:rPr>
        <w:t>Where a school takes legal action against the Authority, the costs of this action (unless awarded against the Authority by the courts) shall be charged to the school budget.  In addition, in the event of the school ignoring the advice of the Authority resulting in legal costs falling on the Authority, these will be recharged to the school under Section 6.2.11 of this scheme.  Where a school feels that there is a conflict of interest between itself and the Authority, it shall explain in writing to the</w:t>
      </w:r>
      <w:r w:rsidR="00502331">
        <w:rPr>
          <w:color w:val="000000"/>
        </w:rPr>
        <w:t xml:space="preserve"> Assistant Executive Director, </w:t>
      </w:r>
      <w:r w:rsidRPr="0017132A">
        <w:rPr>
          <w:color w:val="000000"/>
        </w:rPr>
        <w:t>Education what it considers to be the conflict of interest.  If this conflict cannot be resolved by the Authority’s legal representatives to the satisfaction of the school, it shall notify the</w:t>
      </w:r>
      <w:r w:rsidR="00502331">
        <w:rPr>
          <w:color w:val="000000"/>
        </w:rPr>
        <w:t xml:space="preserve"> Assistant Executive Director, </w:t>
      </w:r>
      <w:r w:rsidRPr="0017132A">
        <w:rPr>
          <w:color w:val="000000"/>
        </w:rPr>
        <w:t>Education in writing of its intention to obtain independent advice.</w:t>
      </w:r>
    </w:p>
    <w:p w14:paraId="52BFCE5E" w14:textId="77777777" w:rsidR="006D724E" w:rsidRPr="00B36725" w:rsidRDefault="006D724E" w:rsidP="006D724E">
      <w:pPr>
        <w:pStyle w:val="BodyText"/>
        <w:jc w:val="both"/>
      </w:pPr>
    </w:p>
    <w:p w14:paraId="52BFCE5F" w14:textId="0708AB4A" w:rsidR="006D724E" w:rsidRPr="004C4563" w:rsidRDefault="00B158BB" w:rsidP="006D724E">
      <w:pPr>
        <w:pStyle w:val="Heading2"/>
        <w:numPr>
          <w:ilvl w:val="1"/>
          <w:numId w:val="2"/>
        </w:numPr>
        <w:tabs>
          <w:tab w:val="left" w:pos="1637"/>
          <w:tab w:val="left" w:pos="1639"/>
        </w:tabs>
        <w:jc w:val="both"/>
        <w:rPr>
          <w:sz w:val="28"/>
        </w:rPr>
      </w:pPr>
      <w:r>
        <w:rPr>
          <w:sz w:val="28"/>
        </w:rPr>
        <w:t>Health and S</w:t>
      </w:r>
      <w:r w:rsidR="009F37FD" w:rsidRPr="004C4563">
        <w:rPr>
          <w:sz w:val="28"/>
        </w:rPr>
        <w:t>afety</w:t>
      </w:r>
    </w:p>
    <w:p w14:paraId="52BFCE60" w14:textId="616E500B" w:rsidR="006D724E" w:rsidRPr="0017132A" w:rsidRDefault="009F37FD" w:rsidP="00B36725">
      <w:pPr>
        <w:pStyle w:val="BodyText"/>
        <w:ind w:left="917" w:right="1060"/>
        <w:jc w:val="both"/>
        <w:rPr>
          <w:color w:val="000000"/>
        </w:rPr>
      </w:pPr>
      <w:r w:rsidRPr="0017132A">
        <w:rPr>
          <w:color w:val="000000"/>
        </w:rPr>
        <w:t xml:space="preserve">The Governing Body of a school, in spending the school’s budget share, shall have regard to the duties placed on the Authority in </w:t>
      </w:r>
      <w:r w:rsidR="00502331">
        <w:rPr>
          <w:color w:val="000000"/>
        </w:rPr>
        <w:t>relation to health and s</w:t>
      </w:r>
      <w:r w:rsidRPr="0017132A">
        <w:rPr>
          <w:color w:val="000000"/>
        </w:rPr>
        <w:t>afety and the Authority’s health and safety policy.  Schools shall comply with any guidance on healt</w:t>
      </w:r>
      <w:r w:rsidR="00502331">
        <w:rPr>
          <w:color w:val="000000"/>
        </w:rPr>
        <w:t>h and safety made available to g</w:t>
      </w:r>
      <w:r w:rsidRPr="0017132A">
        <w:rPr>
          <w:color w:val="000000"/>
        </w:rPr>
        <w:t xml:space="preserve">overning </w:t>
      </w:r>
      <w:r w:rsidR="00502331">
        <w:rPr>
          <w:color w:val="000000"/>
        </w:rPr>
        <w:t>b</w:t>
      </w:r>
      <w:r w:rsidRPr="0017132A">
        <w:rPr>
          <w:color w:val="000000"/>
        </w:rPr>
        <w:t>odies by the Authority.</w:t>
      </w:r>
    </w:p>
    <w:p w14:paraId="52BFCE61" w14:textId="77777777" w:rsidR="006D724E" w:rsidRDefault="006D724E" w:rsidP="006D724E">
      <w:pPr>
        <w:pStyle w:val="BodyText"/>
        <w:jc w:val="both"/>
        <w:rPr>
          <w:sz w:val="24"/>
        </w:rPr>
      </w:pPr>
    </w:p>
    <w:p w14:paraId="52BFCE62" w14:textId="7CD953CE" w:rsidR="006D724E" w:rsidRPr="004C4563" w:rsidRDefault="009F37FD" w:rsidP="006D724E">
      <w:pPr>
        <w:pStyle w:val="Heading2"/>
        <w:numPr>
          <w:ilvl w:val="1"/>
          <w:numId w:val="2"/>
        </w:numPr>
        <w:tabs>
          <w:tab w:val="left" w:pos="1637"/>
          <w:tab w:val="left" w:pos="1639"/>
        </w:tabs>
        <w:jc w:val="both"/>
        <w:rPr>
          <w:sz w:val="28"/>
        </w:rPr>
      </w:pPr>
      <w:r w:rsidRPr="004C4563">
        <w:rPr>
          <w:sz w:val="28"/>
        </w:rPr>
        <w:t xml:space="preserve">Right of </w:t>
      </w:r>
      <w:r w:rsidR="00B158BB">
        <w:rPr>
          <w:sz w:val="28"/>
        </w:rPr>
        <w:t>A</w:t>
      </w:r>
      <w:r w:rsidRPr="004C4563">
        <w:rPr>
          <w:sz w:val="28"/>
        </w:rPr>
        <w:t>ttendance for Chief Finance</w:t>
      </w:r>
      <w:r w:rsidRPr="004C4563">
        <w:rPr>
          <w:spacing w:val="-4"/>
          <w:sz w:val="28"/>
        </w:rPr>
        <w:t xml:space="preserve"> </w:t>
      </w:r>
      <w:r w:rsidRPr="004C4563">
        <w:rPr>
          <w:sz w:val="28"/>
        </w:rPr>
        <w:t>Officer</w:t>
      </w:r>
    </w:p>
    <w:p w14:paraId="52BFCE63" w14:textId="2ABD4DA6" w:rsidR="006D724E" w:rsidRPr="0017132A" w:rsidRDefault="009F37FD" w:rsidP="00B36725">
      <w:pPr>
        <w:pStyle w:val="BodyText"/>
        <w:ind w:left="919" w:right="1060"/>
        <w:jc w:val="both"/>
        <w:rPr>
          <w:color w:val="000000"/>
        </w:rPr>
      </w:pPr>
      <w:r w:rsidRPr="0017132A">
        <w:rPr>
          <w:color w:val="000000"/>
        </w:rPr>
        <w:t xml:space="preserve">The Authority’s Chief Financial Officer, or any officer nominated by him, shall have the right to </w:t>
      </w:r>
      <w:r w:rsidR="00502331">
        <w:rPr>
          <w:color w:val="000000"/>
        </w:rPr>
        <w:t xml:space="preserve">attend </w:t>
      </w:r>
      <w:r w:rsidR="00502331">
        <w:rPr>
          <w:color w:val="000000"/>
        </w:rPr>
        <w:lastRenderedPageBreak/>
        <w:t>any meeting of a g</w:t>
      </w:r>
      <w:r w:rsidRPr="0017132A">
        <w:rPr>
          <w:color w:val="000000"/>
        </w:rPr>
        <w:t xml:space="preserve">overning </w:t>
      </w:r>
      <w:r w:rsidR="00502331">
        <w:rPr>
          <w:color w:val="000000"/>
        </w:rPr>
        <w:t>b</w:t>
      </w:r>
      <w:r w:rsidRPr="0017132A">
        <w:rPr>
          <w:color w:val="000000"/>
        </w:rPr>
        <w:t>ody (or its committees) at which the agenda includes items which are relevant to the exercise of the Chief Financial Officer’s duties.  In exercising this right, the Chief Financial Officer shall notify the school and will provide the school with as much notice as is practical in the circumstances.  It is not intended that the Chief</w:t>
      </w:r>
      <w:r w:rsidR="00502331">
        <w:rPr>
          <w:color w:val="000000"/>
        </w:rPr>
        <w:t xml:space="preserve"> Financial Officer will attend g</w:t>
      </w:r>
      <w:r w:rsidRPr="0017132A">
        <w:rPr>
          <w:color w:val="000000"/>
        </w:rPr>
        <w:t xml:space="preserve">overning </w:t>
      </w:r>
      <w:r w:rsidR="00502331">
        <w:rPr>
          <w:color w:val="000000"/>
        </w:rPr>
        <w:t>b</w:t>
      </w:r>
      <w:r w:rsidRPr="0017132A">
        <w:rPr>
          <w:color w:val="000000"/>
        </w:rPr>
        <w:t>ody meetings as a matter of course but only in exceptional circumstances that affect the school budget.</w:t>
      </w:r>
    </w:p>
    <w:p w14:paraId="52BFCE64" w14:textId="77777777" w:rsidR="006D724E" w:rsidRPr="004C4563" w:rsidRDefault="006D724E" w:rsidP="006D724E">
      <w:pPr>
        <w:pStyle w:val="BodyText"/>
        <w:jc w:val="both"/>
        <w:rPr>
          <w:sz w:val="24"/>
        </w:rPr>
      </w:pPr>
    </w:p>
    <w:p w14:paraId="52BFCE65" w14:textId="77777777" w:rsidR="006D724E" w:rsidRPr="004C4563" w:rsidRDefault="009F37FD" w:rsidP="006D724E">
      <w:pPr>
        <w:pStyle w:val="Heading2"/>
        <w:numPr>
          <w:ilvl w:val="1"/>
          <w:numId w:val="2"/>
        </w:numPr>
        <w:tabs>
          <w:tab w:val="left" w:pos="1637"/>
          <w:tab w:val="left" w:pos="1639"/>
        </w:tabs>
        <w:jc w:val="both"/>
        <w:rPr>
          <w:sz w:val="28"/>
        </w:rPr>
      </w:pPr>
      <w:r w:rsidRPr="004C4563">
        <w:rPr>
          <w:sz w:val="28"/>
        </w:rPr>
        <w:t>Special Educational</w:t>
      </w:r>
      <w:r w:rsidRPr="004C4563">
        <w:rPr>
          <w:spacing w:val="-3"/>
          <w:sz w:val="28"/>
        </w:rPr>
        <w:t xml:space="preserve"> </w:t>
      </w:r>
      <w:r w:rsidRPr="004C4563">
        <w:rPr>
          <w:sz w:val="28"/>
        </w:rPr>
        <w:t>Needs</w:t>
      </w:r>
    </w:p>
    <w:p w14:paraId="52BFCE66" w14:textId="47CEFD38" w:rsidR="006D724E" w:rsidRPr="0017132A" w:rsidRDefault="009F37FD" w:rsidP="00B36725">
      <w:pPr>
        <w:pStyle w:val="BodyText"/>
        <w:ind w:left="917" w:right="1060"/>
        <w:jc w:val="both"/>
        <w:rPr>
          <w:color w:val="000000"/>
        </w:rPr>
      </w:pPr>
      <w:r w:rsidRPr="0017132A">
        <w:rPr>
          <w:color w:val="000000"/>
        </w:rPr>
        <w:t xml:space="preserve">Schools shall, in spending their school budget, use their best endeavours to meet the requirements of their pupils who have special educational needs within the available resources.  Where this has not occurred, the Authority will have the power to suspend delegation (the situation would have to be of a serious nature before the Authority could invoke these powers).  Any school that disputed the removal of its delegated budget </w:t>
      </w:r>
      <w:r w:rsidRPr="006D64D7">
        <w:rPr>
          <w:color w:val="000000"/>
        </w:rPr>
        <w:t>shall in the first instance discuss their concerns with the S151 Officer and the</w:t>
      </w:r>
      <w:r w:rsidR="00502331">
        <w:rPr>
          <w:color w:val="000000"/>
        </w:rPr>
        <w:t xml:space="preserve"> Assistant Executive Director, </w:t>
      </w:r>
      <w:r w:rsidRPr="006D64D7">
        <w:rPr>
          <w:color w:val="000000"/>
        </w:rPr>
        <w:t>Education.  Where the dispute cannot be resolved, the school may present their case to the Executive Member (Learning, Skills and Economic Growth) who will arbitrate on the issue.</w:t>
      </w:r>
    </w:p>
    <w:p w14:paraId="52BFCE67" w14:textId="77777777" w:rsidR="006D724E" w:rsidRPr="00B36725" w:rsidRDefault="006D724E" w:rsidP="006D724E">
      <w:pPr>
        <w:pStyle w:val="BodyText"/>
        <w:jc w:val="both"/>
      </w:pPr>
    </w:p>
    <w:p w14:paraId="52BFCE68" w14:textId="0E78087A" w:rsidR="006D724E" w:rsidRPr="004C4563" w:rsidRDefault="00B158BB" w:rsidP="006D724E">
      <w:pPr>
        <w:pStyle w:val="Heading2"/>
        <w:numPr>
          <w:ilvl w:val="1"/>
          <w:numId w:val="2"/>
        </w:numPr>
        <w:tabs>
          <w:tab w:val="left" w:pos="1637"/>
          <w:tab w:val="left" w:pos="1639"/>
        </w:tabs>
        <w:jc w:val="both"/>
        <w:rPr>
          <w:sz w:val="28"/>
        </w:rPr>
      </w:pPr>
      <w:r>
        <w:rPr>
          <w:sz w:val="28"/>
        </w:rPr>
        <w:t>Interest on L</w:t>
      </w:r>
      <w:r w:rsidR="009F37FD" w:rsidRPr="004C4563">
        <w:rPr>
          <w:sz w:val="28"/>
        </w:rPr>
        <w:t>ate</w:t>
      </w:r>
      <w:r w:rsidR="009F37FD" w:rsidRPr="004C4563">
        <w:rPr>
          <w:spacing w:val="-1"/>
          <w:sz w:val="28"/>
        </w:rPr>
        <w:t xml:space="preserve"> </w:t>
      </w:r>
      <w:r>
        <w:rPr>
          <w:sz w:val="28"/>
        </w:rPr>
        <w:t>P</w:t>
      </w:r>
      <w:r w:rsidR="009F37FD" w:rsidRPr="004C4563">
        <w:rPr>
          <w:sz w:val="28"/>
        </w:rPr>
        <w:t>ayments</w:t>
      </w:r>
    </w:p>
    <w:p w14:paraId="52BFCE69" w14:textId="77777777" w:rsidR="006D724E" w:rsidRPr="006D64D7" w:rsidRDefault="009F37FD" w:rsidP="00540994">
      <w:pPr>
        <w:pStyle w:val="BodyText"/>
        <w:ind w:left="917" w:right="1060"/>
        <w:jc w:val="both"/>
        <w:rPr>
          <w:color w:val="000000"/>
        </w:rPr>
      </w:pPr>
      <w:r w:rsidRPr="006D64D7">
        <w:rPr>
          <w:color w:val="000000"/>
        </w:rPr>
        <w:t>The terms of the Scheme cannot affect statutory requirements now introduced regarding interest on late payments.</w:t>
      </w:r>
    </w:p>
    <w:p w14:paraId="52BFCE6A" w14:textId="77777777" w:rsidR="006D724E" w:rsidRDefault="006D724E" w:rsidP="006D724E">
      <w:pPr>
        <w:pStyle w:val="BodyText"/>
        <w:jc w:val="both"/>
      </w:pPr>
    </w:p>
    <w:p w14:paraId="52BFCE6B" w14:textId="77777777" w:rsidR="006D724E" w:rsidRPr="001E79D2" w:rsidRDefault="009F37FD" w:rsidP="006D724E">
      <w:pPr>
        <w:pStyle w:val="Heading2"/>
        <w:numPr>
          <w:ilvl w:val="1"/>
          <w:numId w:val="2"/>
        </w:numPr>
        <w:tabs>
          <w:tab w:val="left" w:pos="1637"/>
          <w:tab w:val="left" w:pos="1639"/>
        </w:tabs>
        <w:jc w:val="both"/>
        <w:rPr>
          <w:sz w:val="28"/>
          <w:szCs w:val="28"/>
        </w:rPr>
      </w:pPr>
      <w:r w:rsidRPr="001E79D2">
        <w:rPr>
          <w:sz w:val="28"/>
          <w:szCs w:val="28"/>
        </w:rPr>
        <w:t>Whistleblowing</w:t>
      </w:r>
    </w:p>
    <w:p w14:paraId="52BFCE6C" w14:textId="1AB4BDB5" w:rsidR="006D724E" w:rsidRDefault="009F37FD" w:rsidP="00540994">
      <w:pPr>
        <w:pStyle w:val="BodyText"/>
        <w:ind w:left="917" w:right="1060"/>
        <w:jc w:val="both"/>
        <w:rPr>
          <w:color w:val="000000"/>
        </w:rPr>
      </w:pPr>
      <w:r w:rsidRPr="00073365">
        <w:rPr>
          <w:color w:val="000000"/>
        </w:rPr>
        <w:t xml:space="preserve">The Public Interest Disclosure Act 1998 requires authorities to provide </w:t>
      </w:r>
      <w:r w:rsidR="00540994">
        <w:rPr>
          <w:color w:val="000000"/>
        </w:rPr>
        <w:t xml:space="preserve">a whistle blowing facility. </w:t>
      </w:r>
      <w:r w:rsidRPr="00073365">
        <w:rPr>
          <w:color w:val="000000"/>
        </w:rPr>
        <w:t xml:space="preserve">The procedures and safeguards available </w:t>
      </w:r>
      <w:proofErr w:type="gramStart"/>
      <w:r w:rsidRPr="00073365">
        <w:rPr>
          <w:color w:val="000000"/>
        </w:rPr>
        <w:t>in regard to</w:t>
      </w:r>
      <w:proofErr w:type="gramEnd"/>
      <w:r w:rsidRPr="00073365">
        <w:rPr>
          <w:color w:val="000000"/>
        </w:rPr>
        <w:t xml:space="preserve"> whistle blowing by school staff, Governors and members of the public are detailed in the Authority’s whistleblowing policy which can be found at </w:t>
      </w:r>
      <w:hyperlink r:id="rId25" w:history="1">
        <w:r w:rsidRPr="0017132A">
          <w:rPr>
            <w:rStyle w:val="Hyperlink"/>
            <w:bCs/>
          </w:rPr>
          <w:t>www.tameside.gov.uk/whistleblowing</w:t>
        </w:r>
      </w:hyperlink>
      <w:r>
        <w:rPr>
          <w:color w:val="000000"/>
        </w:rPr>
        <w:t xml:space="preserve"> </w:t>
      </w:r>
    </w:p>
    <w:p w14:paraId="52BFCE6D" w14:textId="77777777" w:rsidR="006D724E" w:rsidRPr="00073365" w:rsidRDefault="006D724E" w:rsidP="006D724E">
      <w:pPr>
        <w:pStyle w:val="BodyText"/>
        <w:ind w:left="917" w:right="1221"/>
        <w:jc w:val="both"/>
        <w:rPr>
          <w:color w:val="000000"/>
        </w:rPr>
      </w:pPr>
    </w:p>
    <w:p w14:paraId="52BFCE6E" w14:textId="77777777" w:rsidR="006D724E" w:rsidRPr="00073365" w:rsidRDefault="009F37FD" w:rsidP="00540994">
      <w:pPr>
        <w:pStyle w:val="BodyText"/>
        <w:ind w:left="917" w:right="1060"/>
        <w:jc w:val="both"/>
        <w:rPr>
          <w:color w:val="000000"/>
        </w:rPr>
      </w:pPr>
      <w:r w:rsidRPr="00073365">
        <w:rPr>
          <w:color w:val="000000"/>
        </w:rPr>
        <w:t>Schools should have their own whistleblowing policy which must comply with the Authority’s policy and must be available on each school’s website.</w:t>
      </w:r>
    </w:p>
    <w:p w14:paraId="52BFCE6F" w14:textId="77777777" w:rsidR="006D724E" w:rsidRDefault="006D724E" w:rsidP="006D724E">
      <w:pPr>
        <w:pStyle w:val="BodyText"/>
        <w:jc w:val="both"/>
        <w:rPr>
          <w:sz w:val="21"/>
        </w:rPr>
      </w:pPr>
    </w:p>
    <w:p w14:paraId="52BFCE70" w14:textId="77777777" w:rsidR="006D724E" w:rsidRPr="001E79D2" w:rsidRDefault="009F37FD" w:rsidP="004C4563">
      <w:pPr>
        <w:pStyle w:val="Heading2"/>
        <w:numPr>
          <w:ilvl w:val="1"/>
          <w:numId w:val="2"/>
        </w:numPr>
        <w:ind w:left="1843" w:hanging="926"/>
        <w:jc w:val="both"/>
        <w:rPr>
          <w:sz w:val="28"/>
          <w:szCs w:val="28"/>
        </w:rPr>
      </w:pPr>
      <w:r w:rsidRPr="001E79D2">
        <w:rPr>
          <w:sz w:val="28"/>
          <w:szCs w:val="28"/>
        </w:rPr>
        <w:t>Child Protection</w:t>
      </w:r>
    </w:p>
    <w:p w14:paraId="52BFCE71" w14:textId="77777777" w:rsidR="006D724E" w:rsidRDefault="009F37FD" w:rsidP="00540994">
      <w:pPr>
        <w:pStyle w:val="BodyText"/>
        <w:ind w:left="919" w:right="1060"/>
        <w:jc w:val="both"/>
      </w:pPr>
      <w:r>
        <w:t>Schools are required to make provision, where applicable, for staff to attend child protection case conferences and other related events</w:t>
      </w:r>
    </w:p>
    <w:p w14:paraId="52BFCE72" w14:textId="77777777" w:rsidR="006D724E" w:rsidRDefault="006D724E" w:rsidP="006D724E">
      <w:pPr>
        <w:pStyle w:val="BodyText"/>
        <w:jc w:val="both"/>
        <w:rPr>
          <w:sz w:val="21"/>
        </w:rPr>
      </w:pPr>
    </w:p>
    <w:p w14:paraId="52BFCE73" w14:textId="356609ED" w:rsidR="006D724E" w:rsidRPr="001E79D2" w:rsidRDefault="009F37FD" w:rsidP="004C4563">
      <w:pPr>
        <w:pStyle w:val="Heading2"/>
        <w:numPr>
          <w:ilvl w:val="1"/>
          <w:numId w:val="2"/>
        </w:numPr>
        <w:ind w:left="1843" w:hanging="926"/>
        <w:jc w:val="both"/>
        <w:rPr>
          <w:sz w:val="28"/>
          <w:szCs w:val="28"/>
        </w:rPr>
      </w:pPr>
      <w:r w:rsidRPr="001E79D2">
        <w:rPr>
          <w:sz w:val="28"/>
          <w:szCs w:val="28"/>
        </w:rPr>
        <w:t>Redundancy</w:t>
      </w:r>
      <w:r w:rsidR="00081C8B" w:rsidRPr="001E79D2">
        <w:rPr>
          <w:sz w:val="28"/>
          <w:szCs w:val="28"/>
        </w:rPr>
        <w:t xml:space="preserve"> </w:t>
      </w:r>
      <w:r w:rsidRPr="001E79D2">
        <w:rPr>
          <w:sz w:val="28"/>
          <w:szCs w:val="28"/>
        </w:rPr>
        <w:t>/</w:t>
      </w:r>
      <w:r w:rsidR="00081C8B" w:rsidRPr="001E79D2">
        <w:rPr>
          <w:sz w:val="28"/>
          <w:szCs w:val="28"/>
        </w:rPr>
        <w:t xml:space="preserve"> </w:t>
      </w:r>
      <w:r w:rsidRPr="001E79D2">
        <w:rPr>
          <w:sz w:val="28"/>
          <w:szCs w:val="28"/>
        </w:rPr>
        <w:t>Early Retirement Costs</w:t>
      </w:r>
    </w:p>
    <w:p w14:paraId="52BFCE74" w14:textId="77777777" w:rsidR="006D724E" w:rsidRPr="00C754DD" w:rsidRDefault="009F37FD" w:rsidP="00540994">
      <w:pPr>
        <w:pStyle w:val="BodyText"/>
        <w:ind w:left="917" w:right="1060"/>
        <w:jc w:val="both"/>
      </w:pPr>
      <w:r w:rsidRPr="00C754DD">
        <w:t xml:space="preserve">The Education Act 2002 sets out how premature retirement and redundancy costs should normally be funded.  Further guidance is provided at </w:t>
      </w:r>
      <w:r w:rsidRPr="007201E9">
        <w:rPr>
          <w:b/>
        </w:rPr>
        <w:t>Appendix 3</w:t>
      </w:r>
      <w:r w:rsidRPr="00C754DD">
        <w:t>.</w:t>
      </w:r>
    </w:p>
    <w:p w14:paraId="52BFCE77" w14:textId="77777777" w:rsidR="006D724E" w:rsidRDefault="006D724E" w:rsidP="006D724E">
      <w:pPr>
        <w:pStyle w:val="Heading3"/>
        <w:jc w:val="both"/>
      </w:pPr>
    </w:p>
    <w:p w14:paraId="52BFCE78" w14:textId="77777777" w:rsidR="006D724E" w:rsidRDefault="006D724E" w:rsidP="006D724E">
      <w:pPr>
        <w:pStyle w:val="Heading3"/>
        <w:jc w:val="both"/>
      </w:pPr>
    </w:p>
    <w:p w14:paraId="52BFCE79" w14:textId="77777777" w:rsidR="006D724E" w:rsidRDefault="006D724E" w:rsidP="006D724E">
      <w:pPr>
        <w:jc w:val="both"/>
        <w:sectPr w:rsidR="006D724E">
          <w:pgSz w:w="11910" w:h="16840"/>
          <w:pgMar w:top="760" w:right="140" w:bottom="280" w:left="220" w:header="720" w:footer="720" w:gutter="0"/>
          <w:cols w:space="720"/>
        </w:sectPr>
      </w:pPr>
    </w:p>
    <w:p w14:paraId="52BFCE7A" w14:textId="77777777" w:rsidR="006D724E" w:rsidRDefault="009F37FD" w:rsidP="006D724E">
      <w:pPr>
        <w:pStyle w:val="ListParagraph"/>
        <w:numPr>
          <w:ilvl w:val="0"/>
          <w:numId w:val="5"/>
        </w:numPr>
        <w:tabs>
          <w:tab w:val="left" w:pos="1637"/>
          <w:tab w:val="left" w:pos="1639"/>
        </w:tabs>
        <w:spacing w:before="68"/>
        <w:ind w:left="1638"/>
        <w:jc w:val="both"/>
        <w:rPr>
          <w:b/>
          <w:sz w:val="36"/>
        </w:rPr>
      </w:pPr>
      <w:r>
        <w:rPr>
          <w:b/>
          <w:sz w:val="36"/>
        </w:rPr>
        <w:lastRenderedPageBreak/>
        <w:t>Responsibility for Repairs and</w:t>
      </w:r>
      <w:r>
        <w:rPr>
          <w:b/>
          <w:spacing w:val="-3"/>
          <w:sz w:val="36"/>
        </w:rPr>
        <w:t xml:space="preserve"> </w:t>
      </w:r>
      <w:r>
        <w:rPr>
          <w:b/>
          <w:sz w:val="36"/>
        </w:rPr>
        <w:t>Maintenance</w:t>
      </w:r>
    </w:p>
    <w:p w14:paraId="52BFCE7B" w14:textId="77777777" w:rsidR="006D724E" w:rsidRPr="00540994" w:rsidRDefault="006D724E" w:rsidP="006D724E">
      <w:pPr>
        <w:pStyle w:val="Heading1"/>
        <w:jc w:val="both"/>
        <w:rPr>
          <w:b w:val="0"/>
          <w:sz w:val="22"/>
          <w:szCs w:val="22"/>
        </w:rPr>
      </w:pPr>
      <w:bookmarkStart w:id="25" w:name="_Toc413162207"/>
    </w:p>
    <w:p w14:paraId="52BFCE7C" w14:textId="77777777" w:rsidR="006D724E" w:rsidRPr="0017132A" w:rsidRDefault="009F37FD" w:rsidP="006D724E">
      <w:pPr>
        <w:pStyle w:val="Heading1"/>
        <w:jc w:val="both"/>
        <w:rPr>
          <w:sz w:val="22"/>
          <w:szCs w:val="22"/>
        </w:rPr>
      </w:pPr>
      <w:r w:rsidRPr="004C4563">
        <w:rPr>
          <w:szCs w:val="22"/>
        </w:rPr>
        <w:t>12.1</w:t>
      </w:r>
      <w:r w:rsidRPr="0017132A">
        <w:rPr>
          <w:sz w:val="22"/>
          <w:szCs w:val="22"/>
        </w:rPr>
        <w:tab/>
      </w:r>
      <w:r w:rsidRPr="004C4563">
        <w:rPr>
          <w:szCs w:val="22"/>
        </w:rPr>
        <w:t>Responsibilities of Governing Bodies</w:t>
      </w:r>
      <w:bookmarkEnd w:id="25"/>
    </w:p>
    <w:p w14:paraId="52BFCE7D" w14:textId="77777777" w:rsidR="006D724E" w:rsidRDefault="009F37FD" w:rsidP="00540994">
      <w:pPr>
        <w:pStyle w:val="BodyText"/>
        <w:ind w:left="919" w:right="1060"/>
        <w:jc w:val="both"/>
        <w:rPr>
          <w:color w:val="000000"/>
        </w:rPr>
      </w:pPr>
      <w:r w:rsidRPr="005447D8">
        <w:rPr>
          <w:color w:val="000000"/>
        </w:rPr>
        <w:t xml:space="preserve">Governors in maintained schools will be responsible for all repair and maintenance costs from their delegated budgets.  Illustrative examples of the split between capital and revenue expenditure in line with the DfE's interpretation of the CIPFA Code of Practice is attached in </w:t>
      </w:r>
      <w:r w:rsidRPr="007201E9">
        <w:rPr>
          <w:b/>
          <w:color w:val="000000"/>
        </w:rPr>
        <w:t>Appendix 4</w:t>
      </w:r>
      <w:r w:rsidRPr="005447D8">
        <w:rPr>
          <w:color w:val="000000"/>
        </w:rPr>
        <w:t>.</w:t>
      </w:r>
    </w:p>
    <w:p w14:paraId="52BFCE7E" w14:textId="77777777" w:rsidR="006D724E" w:rsidRPr="005447D8" w:rsidRDefault="006D724E" w:rsidP="006D724E">
      <w:pPr>
        <w:pStyle w:val="BodyText"/>
        <w:ind w:left="917" w:right="1221"/>
        <w:jc w:val="both"/>
        <w:rPr>
          <w:color w:val="000000"/>
        </w:rPr>
      </w:pPr>
    </w:p>
    <w:p w14:paraId="52BFCE7F" w14:textId="77777777" w:rsidR="006D724E" w:rsidRPr="0017132A" w:rsidRDefault="009F37FD" w:rsidP="006D724E">
      <w:pPr>
        <w:pStyle w:val="Heading1"/>
        <w:jc w:val="both"/>
        <w:rPr>
          <w:sz w:val="22"/>
          <w:szCs w:val="22"/>
        </w:rPr>
      </w:pPr>
      <w:bookmarkStart w:id="26" w:name="_Toc413162208"/>
      <w:r w:rsidRPr="004C4563">
        <w:rPr>
          <w:szCs w:val="22"/>
        </w:rPr>
        <w:t>12.2</w:t>
      </w:r>
      <w:r w:rsidRPr="004C4563">
        <w:rPr>
          <w:szCs w:val="22"/>
        </w:rPr>
        <w:tab/>
        <w:t>Capital Expenditure</w:t>
      </w:r>
      <w:bookmarkEnd w:id="26"/>
    </w:p>
    <w:p w14:paraId="52BFCE80" w14:textId="77777777" w:rsidR="006D724E" w:rsidRPr="0017132A" w:rsidRDefault="009F37FD" w:rsidP="00540994">
      <w:pPr>
        <w:pStyle w:val="BodyText"/>
        <w:ind w:left="917" w:right="1060"/>
        <w:jc w:val="both"/>
        <w:rPr>
          <w:color w:val="000000"/>
        </w:rPr>
      </w:pPr>
      <w:r w:rsidRPr="0017132A">
        <w:rPr>
          <w:color w:val="000000"/>
        </w:rPr>
        <w:t xml:space="preserve">The Authority will continue to delegate all revenue funding for repairs and maintenance to schools as part of the School Budget Share.  </w:t>
      </w:r>
    </w:p>
    <w:p w14:paraId="51EE84E0" w14:textId="77777777" w:rsidR="00540994" w:rsidRDefault="00540994" w:rsidP="00540994">
      <w:pPr>
        <w:pStyle w:val="BodyText"/>
        <w:ind w:left="917" w:right="1060"/>
        <w:jc w:val="both"/>
        <w:rPr>
          <w:color w:val="000000"/>
        </w:rPr>
      </w:pPr>
    </w:p>
    <w:p w14:paraId="52BFCE81" w14:textId="77777777" w:rsidR="006D724E" w:rsidRDefault="009F37FD" w:rsidP="00540994">
      <w:pPr>
        <w:pStyle w:val="BodyText"/>
        <w:ind w:left="917" w:right="1060"/>
        <w:jc w:val="both"/>
        <w:rPr>
          <w:color w:val="000000"/>
        </w:rPr>
      </w:pPr>
      <w:r w:rsidRPr="0017132A">
        <w:rPr>
          <w:color w:val="000000"/>
        </w:rPr>
        <w:t>Only capital expenditure is to be retained by the Authority.  Schools are also in receipt of devolved capital to carry out work that can be defined as capital.</w:t>
      </w:r>
    </w:p>
    <w:p w14:paraId="52BFCE82" w14:textId="77777777" w:rsidR="006D724E" w:rsidRPr="0017132A" w:rsidRDefault="006D724E" w:rsidP="00540994">
      <w:pPr>
        <w:pStyle w:val="BodyText"/>
        <w:ind w:left="917" w:right="1060"/>
        <w:jc w:val="both"/>
        <w:rPr>
          <w:color w:val="000000"/>
        </w:rPr>
      </w:pPr>
    </w:p>
    <w:p w14:paraId="52BFCE83" w14:textId="77777777" w:rsidR="006D724E" w:rsidRDefault="009F37FD" w:rsidP="00540994">
      <w:pPr>
        <w:pStyle w:val="BodyText"/>
        <w:ind w:left="917" w:right="1060"/>
        <w:jc w:val="both"/>
        <w:rPr>
          <w:color w:val="000000"/>
        </w:rPr>
      </w:pPr>
      <w:r w:rsidRPr="0017132A">
        <w:rPr>
          <w:color w:val="000000"/>
        </w:rPr>
        <w:t xml:space="preserve">Illustrative examples of capital expenditure items in line with the DfE’s interpretation of the CIPFA code of practice are included at </w:t>
      </w:r>
      <w:r w:rsidRPr="007201E9">
        <w:rPr>
          <w:b/>
          <w:color w:val="000000"/>
        </w:rPr>
        <w:t>Appendix 4</w:t>
      </w:r>
      <w:r w:rsidRPr="0017132A">
        <w:rPr>
          <w:color w:val="000000"/>
        </w:rPr>
        <w:t>.</w:t>
      </w:r>
    </w:p>
    <w:p w14:paraId="52BFCE84" w14:textId="77777777" w:rsidR="006D724E" w:rsidRDefault="006D724E" w:rsidP="006D724E">
      <w:pPr>
        <w:pStyle w:val="BodyText"/>
        <w:ind w:left="917" w:right="1221"/>
        <w:jc w:val="both"/>
        <w:rPr>
          <w:color w:val="000000"/>
        </w:rPr>
      </w:pPr>
    </w:p>
    <w:p w14:paraId="52BFCE86" w14:textId="77777777" w:rsidR="006D724E" w:rsidRPr="0017132A" w:rsidRDefault="009F37FD" w:rsidP="006D724E">
      <w:pPr>
        <w:pStyle w:val="Heading1"/>
        <w:jc w:val="both"/>
        <w:rPr>
          <w:sz w:val="22"/>
          <w:szCs w:val="22"/>
        </w:rPr>
      </w:pPr>
      <w:bookmarkStart w:id="27" w:name="_Toc413162209"/>
      <w:r w:rsidRPr="004C4563">
        <w:rPr>
          <w:szCs w:val="22"/>
        </w:rPr>
        <w:t>12.3</w:t>
      </w:r>
      <w:r w:rsidRPr="004C4563">
        <w:rPr>
          <w:szCs w:val="22"/>
        </w:rPr>
        <w:tab/>
        <w:t>Voluntary Aided Schools</w:t>
      </w:r>
      <w:bookmarkEnd w:id="27"/>
      <w:r w:rsidRPr="0017132A">
        <w:rPr>
          <w:sz w:val="22"/>
          <w:szCs w:val="22"/>
        </w:rPr>
        <w:tab/>
      </w:r>
    </w:p>
    <w:p w14:paraId="52BFCE87" w14:textId="6AD52934" w:rsidR="006D724E" w:rsidRDefault="009F37FD" w:rsidP="00540994">
      <w:pPr>
        <w:pStyle w:val="BodyText"/>
        <w:ind w:left="917" w:right="1060"/>
        <w:jc w:val="both"/>
        <w:rPr>
          <w:color w:val="000000"/>
        </w:rPr>
      </w:pPr>
      <w:r w:rsidRPr="005447D8">
        <w:rPr>
          <w:color w:val="000000"/>
        </w:rPr>
        <w:t xml:space="preserve">For voluntary aided schools, the liability of the Authority for repairs and maintenance (met by delegation of funds through the budget share) is the same as for other maintained schools, and no separate list of responsibilities is necessary for such schools.  Eligibility for capital grant from the Secretary of State for capital works at voluntary aided schools depends on the de minimis limit applied by </w:t>
      </w:r>
      <w:r w:rsidR="00502331">
        <w:rPr>
          <w:color w:val="000000"/>
        </w:rPr>
        <w:t xml:space="preserve">the </w:t>
      </w:r>
      <w:r w:rsidRPr="005447D8">
        <w:rPr>
          <w:color w:val="000000"/>
        </w:rPr>
        <w:t xml:space="preserve">DfE to categorise such work.  </w:t>
      </w:r>
    </w:p>
    <w:p w14:paraId="52BFCE88" w14:textId="77777777" w:rsidR="006D724E" w:rsidRDefault="006D724E" w:rsidP="00540994">
      <w:pPr>
        <w:pStyle w:val="BodyText"/>
        <w:ind w:left="917" w:right="1060"/>
        <w:jc w:val="both"/>
        <w:rPr>
          <w:color w:val="000000"/>
        </w:rPr>
      </w:pPr>
    </w:p>
    <w:p w14:paraId="52BFCE89" w14:textId="6A4943AC" w:rsidR="006D724E" w:rsidRPr="005447D8" w:rsidRDefault="009F37FD" w:rsidP="00540994">
      <w:pPr>
        <w:pStyle w:val="BodyText"/>
        <w:ind w:left="917" w:right="1060"/>
        <w:jc w:val="both"/>
        <w:rPr>
          <w:color w:val="000000"/>
        </w:rPr>
      </w:pPr>
      <w:r w:rsidRPr="005447D8">
        <w:rPr>
          <w:color w:val="000000"/>
        </w:rPr>
        <w:t xml:space="preserve">For </w:t>
      </w:r>
      <w:r w:rsidR="002B6C7F">
        <w:rPr>
          <w:color w:val="000000"/>
        </w:rPr>
        <w:t>v</w:t>
      </w:r>
      <w:r w:rsidRPr="005447D8">
        <w:rPr>
          <w:color w:val="000000"/>
        </w:rPr>
        <w:t xml:space="preserve">oluntary </w:t>
      </w:r>
      <w:r w:rsidR="002B6C7F">
        <w:rPr>
          <w:color w:val="000000"/>
        </w:rPr>
        <w:t>a</w:t>
      </w:r>
      <w:r w:rsidRPr="005447D8">
        <w:rPr>
          <w:color w:val="000000"/>
        </w:rPr>
        <w:t>ided schools, all repairs and maintenance up to £2,000 (excluding fees and VAT) should be paid from the delegated budget.  The exceptions to this are playing fields and changing rooms, which remain the responsibility of the Authority.  The boundaries of playing fields however are the responsibility of the Governors.</w:t>
      </w:r>
    </w:p>
    <w:p w14:paraId="52BFCE8A" w14:textId="77777777" w:rsidR="006D724E" w:rsidRDefault="006D724E" w:rsidP="006D724E">
      <w:pPr>
        <w:pStyle w:val="BodyText"/>
        <w:jc w:val="both"/>
        <w:rPr>
          <w:sz w:val="20"/>
        </w:rPr>
      </w:pPr>
    </w:p>
    <w:p w14:paraId="52BFCE8B" w14:textId="77777777" w:rsidR="006D724E" w:rsidRDefault="006D724E" w:rsidP="006D724E">
      <w:pPr>
        <w:pStyle w:val="BodyText"/>
        <w:jc w:val="both"/>
        <w:rPr>
          <w:sz w:val="20"/>
        </w:rPr>
      </w:pPr>
    </w:p>
    <w:p w14:paraId="52BFCE8E" w14:textId="77777777" w:rsidR="006D724E" w:rsidRDefault="006D724E" w:rsidP="006D724E">
      <w:pPr>
        <w:pStyle w:val="BodyText"/>
        <w:jc w:val="both"/>
        <w:rPr>
          <w:sz w:val="20"/>
        </w:rPr>
      </w:pPr>
    </w:p>
    <w:p w14:paraId="52BFCE8F" w14:textId="77777777" w:rsidR="006D724E" w:rsidRDefault="006D724E" w:rsidP="006D724E">
      <w:pPr>
        <w:pStyle w:val="BodyText"/>
        <w:jc w:val="both"/>
        <w:rPr>
          <w:sz w:val="20"/>
        </w:rPr>
      </w:pPr>
    </w:p>
    <w:p w14:paraId="52BFCE90" w14:textId="77777777" w:rsidR="006D724E" w:rsidRDefault="006D724E" w:rsidP="006D724E">
      <w:pPr>
        <w:pStyle w:val="BodyText"/>
        <w:jc w:val="both"/>
        <w:rPr>
          <w:sz w:val="20"/>
        </w:rPr>
      </w:pPr>
    </w:p>
    <w:p w14:paraId="52BFCE91" w14:textId="77777777" w:rsidR="006D724E" w:rsidRDefault="006D724E" w:rsidP="006D724E">
      <w:pPr>
        <w:pStyle w:val="BodyText"/>
        <w:jc w:val="both"/>
        <w:rPr>
          <w:sz w:val="20"/>
        </w:rPr>
      </w:pPr>
    </w:p>
    <w:p w14:paraId="52BFCE92" w14:textId="77777777" w:rsidR="006D724E" w:rsidRDefault="006D724E" w:rsidP="006D724E">
      <w:pPr>
        <w:pStyle w:val="BodyText"/>
        <w:jc w:val="both"/>
        <w:rPr>
          <w:sz w:val="20"/>
        </w:rPr>
      </w:pPr>
    </w:p>
    <w:p w14:paraId="52BFCE93" w14:textId="77777777" w:rsidR="006D724E" w:rsidRDefault="006D724E" w:rsidP="006D724E">
      <w:pPr>
        <w:pStyle w:val="BodyText"/>
        <w:jc w:val="both"/>
        <w:rPr>
          <w:sz w:val="20"/>
        </w:rPr>
      </w:pPr>
    </w:p>
    <w:p w14:paraId="52BFCE94" w14:textId="77777777" w:rsidR="006D724E" w:rsidRDefault="006D724E" w:rsidP="006D724E">
      <w:pPr>
        <w:pStyle w:val="BodyText"/>
        <w:jc w:val="both"/>
        <w:rPr>
          <w:sz w:val="20"/>
        </w:rPr>
      </w:pPr>
    </w:p>
    <w:p w14:paraId="52BFCE95" w14:textId="77777777" w:rsidR="006D724E" w:rsidRDefault="006D724E" w:rsidP="006D724E">
      <w:pPr>
        <w:pStyle w:val="BodyText"/>
        <w:jc w:val="both"/>
        <w:rPr>
          <w:sz w:val="20"/>
        </w:rPr>
      </w:pPr>
    </w:p>
    <w:p w14:paraId="52BFCE96" w14:textId="77777777" w:rsidR="006D724E" w:rsidRDefault="006D724E" w:rsidP="006D724E">
      <w:pPr>
        <w:pStyle w:val="BodyText"/>
        <w:jc w:val="both"/>
        <w:rPr>
          <w:sz w:val="20"/>
        </w:rPr>
      </w:pPr>
    </w:p>
    <w:p w14:paraId="52BFCE97" w14:textId="77777777" w:rsidR="006D724E" w:rsidRDefault="006D724E" w:rsidP="006D724E">
      <w:pPr>
        <w:pStyle w:val="BodyText"/>
        <w:jc w:val="both"/>
        <w:rPr>
          <w:sz w:val="20"/>
        </w:rPr>
      </w:pPr>
    </w:p>
    <w:p w14:paraId="52BFCE98" w14:textId="77777777" w:rsidR="006D724E" w:rsidRDefault="006D724E" w:rsidP="006D724E">
      <w:pPr>
        <w:pStyle w:val="BodyText"/>
        <w:jc w:val="both"/>
        <w:rPr>
          <w:sz w:val="20"/>
        </w:rPr>
      </w:pPr>
    </w:p>
    <w:p w14:paraId="52BFCE99" w14:textId="77777777" w:rsidR="006D724E" w:rsidRDefault="006D724E" w:rsidP="006D724E">
      <w:pPr>
        <w:pStyle w:val="BodyText"/>
        <w:jc w:val="both"/>
        <w:rPr>
          <w:sz w:val="20"/>
        </w:rPr>
      </w:pPr>
    </w:p>
    <w:p w14:paraId="52BFCE9A" w14:textId="77777777" w:rsidR="006D724E" w:rsidRDefault="006D724E" w:rsidP="006D724E">
      <w:pPr>
        <w:pStyle w:val="BodyText"/>
        <w:jc w:val="both"/>
        <w:rPr>
          <w:sz w:val="20"/>
        </w:rPr>
      </w:pPr>
    </w:p>
    <w:p w14:paraId="52BFCE9B" w14:textId="77777777" w:rsidR="006D724E" w:rsidRDefault="006D724E" w:rsidP="006D724E">
      <w:pPr>
        <w:pStyle w:val="BodyText"/>
        <w:jc w:val="both"/>
        <w:rPr>
          <w:sz w:val="20"/>
        </w:rPr>
      </w:pPr>
    </w:p>
    <w:p w14:paraId="52BFCE9C" w14:textId="77777777" w:rsidR="006D724E" w:rsidRDefault="006D724E" w:rsidP="006D724E">
      <w:pPr>
        <w:pStyle w:val="BodyText"/>
        <w:jc w:val="both"/>
        <w:rPr>
          <w:sz w:val="20"/>
        </w:rPr>
      </w:pPr>
    </w:p>
    <w:p w14:paraId="52BFCE9D" w14:textId="77777777" w:rsidR="006D724E" w:rsidRDefault="006D724E" w:rsidP="006D724E">
      <w:pPr>
        <w:pStyle w:val="BodyText"/>
        <w:jc w:val="both"/>
        <w:rPr>
          <w:sz w:val="20"/>
        </w:rPr>
      </w:pPr>
    </w:p>
    <w:p w14:paraId="52BFCE9E" w14:textId="77777777" w:rsidR="006D724E" w:rsidRDefault="006D724E" w:rsidP="006D724E">
      <w:pPr>
        <w:pStyle w:val="BodyText"/>
        <w:spacing w:before="1"/>
        <w:jc w:val="both"/>
        <w:rPr>
          <w:sz w:val="29"/>
        </w:rPr>
      </w:pPr>
    </w:p>
    <w:p w14:paraId="52BFCE9F" w14:textId="77777777" w:rsidR="006D724E" w:rsidRDefault="006D724E" w:rsidP="006D724E">
      <w:pPr>
        <w:jc w:val="both"/>
        <w:sectPr w:rsidR="006D724E">
          <w:pgSz w:w="11910" w:h="16840"/>
          <w:pgMar w:top="1040" w:right="140" w:bottom="280" w:left="220" w:header="720" w:footer="720" w:gutter="0"/>
          <w:cols w:space="720"/>
        </w:sectPr>
      </w:pPr>
    </w:p>
    <w:p w14:paraId="52BFCEA0" w14:textId="77777777" w:rsidR="006D724E" w:rsidRDefault="009F37FD" w:rsidP="006D724E">
      <w:pPr>
        <w:pStyle w:val="ListParagraph"/>
        <w:numPr>
          <w:ilvl w:val="0"/>
          <w:numId w:val="5"/>
        </w:numPr>
        <w:tabs>
          <w:tab w:val="left" w:pos="1485"/>
        </w:tabs>
        <w:spacing w:before="69"/>
        <w:ind w:left="1484" w:hanging="567"/>
        <w:jc w:val="both"/>
        <w:rPr>
          <w:b/>
          <w:sz w:val="36"/>
        </w:rPr>
      </w:pPr>
      <w:bookmarkStart w:id="28" w:name="13._Community_Facilities"/>
      <w:bookmarkEnd w:id="28"/>
      <w:r>
        <w:rPr>
          <w:b/>
          <w:sz w:val="36"/>
        </w:rPr>
        <w:lastRenderedPageBreak/>
        <w:t>Community</w:t>
      </w:r>
      <w:r>
        <w:rPr>
          <w:b/>
          <w:spacing w:val="-3"/>
          <w:sz w:val="36"/>
        </w:rPr>
        <w:t xml:space="preserve"> </w:t>
      </w:r>
      <w:r>
        <w:rPr>
          <w:b/>
          <w:sz w:val="36"/>
        </w:rPr>
        <w:t>Facilities</w:t>
      </w:r>
    </w:p>
    <w:p w14:paraId="762CA5BE" w14:textId="77777777" w:rsidR="00EE7C68" w:rsidRPr="00EE7C68" w:rsidRDefault="00EE7C68" w:rsidP="00EE7C68">
      <w:pPr>
        <w:tabs>
          <w:tab w:val="left" w:pos="1485"/>
        </w:tabs>
        <w:spacing w:before="69"/>
        <w:ind w:left="917"/>
        <w:jc w:val="both"/>
        <w:rPr>
          <w:b/>
        </w:rPr>
      </w:pPr>
    </w:p>
    <w:p w14:paraId="52BFCEA1" w14:textId="77777777" w:rsidR="006D724E" w:rsidRPr="004C4563" w:rsidRDefault="009F37FD" w:rsidP="006D724E">
      <w:pPr>
        <w:pStyle w:val="Heading1"/>
        <w:jc w:val="both"/>
        <w:rPr>
          <w:szCs w:val="22"/>
        </w:rPr>
      </w:pPr>
      <w:bookmarkStart w:id="29" w:name="_Toc413162211"/>
      <w:r w:rsidRPr="004C4563">
        <w:rPr>
          <w:szCs w:val="22"/>
        </w:rPr>
        <w:t>13.1</w:t>
      </w:r>
      <w:r w:rsidRPr="004C4563">
        <w:rPr>
          <w:szCs w:val="22"/>
        </w:rPr>
        <w:tab/>
        <w:t>Introduction</w:t>
      </w:r>
      <w:bookmarkEnd w:id="29"/>
    </w:p>
    <w:p w14:paraId="52BFCEA2" w14:textId="77777777" w:rsidR="006D724E" w:rsidRDefault="009F37FD" w:rsidP="00540994">
      <w:pPr>
        <w:pStyle w:val="BodyText"/>
        <w:ind w:left="917" w:right="1060"/>
        <w:jc w:val="both"/>
        <w:rPr>
          <w:color w:val="000000"/>
        </w:rPr>
      </w:pPr>
      <w:r w:rsidRPr="0017132A">
        <w:rPr>
          <w:color w:val="000000"/>
        </w:rPr>
        <w:t>Schools which choose to exercise the power conferred by s.27 (1) of the Education Act 2002 to provide community facilities will be subject to a range of controls.  First, regulations made under s.28 (2), if made, can specify activities which may not be undertaken at all under the main enabling power.  Secondly, the school is obliged to consult the Authority and have regard to advice from the Authority.  Thirdly, the Secretary of State issues guidance to Governing Bodies about a range of issues connected with exercise of the power, and a school must have regard to that.</w:t>
      </w:r>
    </w:p>
    <w:p w14:paraId="52BFCEA3" w14:textId="77777777" w:rsidR="006D724E" w:rsidRPr="0017132A" w:rsidRDefault="006D724E" w:rsidP="006D724E">
      <w:pPr>
        <w:pStyle w:val="BodyText"/>
        <w:ind w:left="917" w:right="1221"/>
        <w:jc w:val="both"/>
        <w:rPr>
          <w:color w:val="000000"/>
        </w:rPr>
      </w:pPr>
    </w:p>
    <w:p w14:paraId="52BFCEA4" w14:textId="2E64C559" w:rsidR="006D724E" w:rsidRDefault="009F37FD" w:rsidP="00540994">
      <w:pPr>
        <w:pStyle w:val="BodyText"/>
        <w:ind w:left="917" w:right="1060"/>
        <w:jc w:val="both"/>
        <w:rPr>
          <w:color w:val="000000"/>
        </w:rPr>
      </w:pPr>
      <w:r w:rsidRPr="0017132A">
        <w:rPr>
          <w:color w:val="000000"/>
        </w:rPr>
        <w:t xml:space="preserve">However, under s.28(1), the main limitations and restrictions on the power will be those contained in the Authority’s Scheme for Financing Schools made under section 48 of the School Standards and Framework Act 1998 as amended by paragraph 2 of Schedule 3 to the Education Act 2002. This amendment extended the coverage of schemes to include the exercise of the powers of </w:t>
      </w:r>
      <w:r w:rsidR="002B6C7F">
        <w:rPr>
          <w:color w:val="000000"/>
        </w:rPr>
        <w:t>g</w:t>
      </w:r>
      <w:r w:rsidRPr="0017132A">
        <w:rPr>
          <w:color w:val="000000"/>
        </w:rPr>
        <w:t xml:space="preserve">overning </w:t>
      </w:r>
      <w:r w:rsidR="002B6C7F">
        <w:rPr>
          <w:color w:val="000000"/>
        </w:rPr>
        <w:t>b</w:t>
      </w:r>
      <w:r w:rsidRPr="0017132A">
        <w:rPr>
          <w:color w:val="000000"/>
        </w:rPr>
        <w:t>odies to provide community facilities.</w:t>
      </w:r>
    </w:p>
    <w:p w14:paraId="52BFCEA5" w14:textId="77777777" w:rsidR="006D724E" w:rsidRPr="0017132A" w:rsidRDefault="006D724E" w:rsidP="006D724E">
      <w:pPr>
        <w:pStyle w:val="BodyText"/>
        <w:ind w:left="917" w:right="1221"/>
        <w:jc w:val="both"/>
        <w:rPr>
          <w:color w:val="000000"/>
        </w:rPr>
      </w:pPr>
    </w:p>
    <w:p w14:paraId="52BFCEA6" w14:textId="77777777" w:rsidR="006D724E" w:rsidRDefault="009F37FD" w:rsidP="00540994">
      <w:pPr>
        <w:pStyle w:val="BodyText"/>
        <w:ind w:left="917" w:right="1060"/>
        <w:jc w:val="both"/>
        <w:rPr>
          <w:color w:val="000000"/>
        </w:rPr>
      </w:pPr>
      <w:r w:rsidRPr="0017132A">
        <w:rPr>
          <w:color w:val="000000"/>
        </w:rPr>
        <w:t>Schools are therefore subject to prohibitions, restrictions and limitations in the Scheme for Financing Schools.</w:t>
      </w:r>
    </w:p>
    <w:p w14:paraId="52BFCEA7" w14:textId="77777777" w:rsidR="006D724E" w:rsidRPr="0017132A" w:rsidRDefault="006D724E" w:rsidP="006D724E">
      <w:pPr>
        <w:pStyle w:val="BodyText"/>
        <w:ind w:left="917" w:right="1221"/>
        <w:jc w:val="both"/>
        <w:rPr>
          <w:color w:val="000000"/>
        </w:rPr>
      </w:pPr>
    </w:p>
    <w:p w14:paraId="52BFCEA8" w14:textId="77777777" w:rsidR="006D724E" w:rsidRDefault="009F37FD" w:rsidP="00540994">
      <w:pPr>
        <w:pStyle w:val="BodyText"/>
        <w:ind w:left="917" w:right="1060"/>
        <w:jc w:val="both"/>
        <w:rPr>
          <w:color w:val="000000"/>
        </w:rPr>
      </w:pPr>
      <w:r w:rsidRPr="00857C51">
        <w:rPr>
          <w:color w:val="000000"/>
        </w:rPr>
        <w:t>This part of the Scheme does not extend to joint-use agreements; transfer of control agreements, or agreements between the Authority and schools to secure the provision of adult and community learning.</w:t>
      </w:r>
    </w:p>
    <w:p w14:paraId="52BFCEA9" w14:textId="77777777" w:rsidR="006D724E" w:rsidRPr="00857C51" w:rsidRDefault="006D724E" w:rsidP="006D724E">
      <w:pPr>
        <w:pStyle w:val="BodyText"/>
        <w:ind w:left="917" w:right="1221"/>
        <w:jc w:val="both"/>
        <w:rPr>
          <w:color w:val="000000"/>
        </w:rPr>
      </w:pPr>
    </w:p>
    <w:p w14:paraId="52BFCEAA" w14:textId="77777777" w:rsidR="006D724E" w:rsidRPr="004C4563" w:rsidRDefault="009F37FD" w:rsidP="006D724E">
      <w:pPr>
        <w:pStyle w:val="Heading1"/>
        <w:jc w:val="both"/>
        <w:rPr>
          <w:szCs w:val="22"/>
        </w:rPr>
      </w:pPr>
      <w:bookmarkStart w:id="30" w:name="_Toc413162212"/>
      <w:r w:rsidRPr="004C4563">
        <w:rPr>
          <w:szCs w:val="22"/>
        </w:rPr>
        <w:t>13.2</w:t>
      </w:r>
      <w:r w:rsidRPr="004C4563">
        <w:rPr>
          <w:szCs w:val="22"/>
        </w:rPr>
        <w:tab/>
        <w:t>Suspension of Delegation</w:t>
      </w:r>
      <w:bookmarkEnd w:id="30"/>
    </w:p>
    <w:p w14:paraId="52BFCEAB" w14:textId="77777777" w:rsidR="006D724E" w:rsidRDefault="009F37FD" w:rsidP="006D724E">
      <w:pPr>
        <w:pStyle w:val="BodyText"/>
        <w:ind w:left="917" w:right="1221"/>
        <w:jc w:val="both"/>
        <w:rPr>
          <w:color w:val="000000"/>
        </w:rPr>
      </w:pPr>
      <w:r w:rsidRPr="0017132A">
        <w:rPr>
          <w:color w:val="000000"/>
        </w:rPr>
        <w:t xml:space="preserve">Under the legislation described above, mismanagement of community facilities funds can be grounds for suspension of the right to a delegated budget. </w:t>
      </w:r>
    </w:p>
    <w:p w14:paraId="52BFCEAC" w14:textId="77777777" w:rsidR="006D724E" w:rsidRPr="0017132A" w:rsidRDefault="006D724E" w:rsidP="006D724E">
      <w:pPr>
        <w:pStyle w:val="BodyText"/>
        <w:ind w:left="917" w:right="1221"/>
        <w:jc w:val="both"/>
        <w:rPr>
          <w:color w:val="000000"/>
        </w:rPr>
      </w:pPr>
    </w:p>
    <w:p w14:paraId="52BFCEAD" w14:textId="77777777" w:rsidR="006D724E" w:rsidRPr="004C4563" w:rsidRDefault="009F37FD" w:rsidP="006D724E">
      <w:pPr>
        <w:pStyle w:val="Heading1"/>
        <w:jc w:val="both"/>
        <w:rPr>
          <w:szCs w:val="22"/>
        </w:rPr>
      </w:pPr>
      <w:bookmarkStart w:id="31" w:name="_Toc413162213"/>
      <w:r w:rsidRPr="004C4563">
        <w:rPr>
          <w:szCs w:val="22"/>
        </w:rPr>
        <w:t>13.3</w:t>
      </w:r>
      <w:r w:rsidRPr="004C4563">
        <w:rPr>
          <w:szCs w:val="22"/>
        </w:rPr>
        <w:tab/>
        <w:t>Consultation with the Authority</w:t>
      </w:r>
      <w:bookmarkEnd w:id="31"/>
    </w:p>
    <w:p w14:paraId="52BFCEAE" w14:textId="31898D58" w:rsidR="006D724E" w:rsidRDefault="009F37FD" w:rsidP="006D724E">
      <w:pPr>
        <w:pStyle w:val="BodyText"/>
        <w:ind w:left="917" w:right="1221"/>
        <w:jc w:val="both"/>
        <w:rPr>
          <w:color w:val="000000"/>
        </w:rPr>
      </w:pPr>
      <w:r w:rsidRPr="0017132A">
        <w:rPr>
          <w:color w:val="000000"/>
        </w:rPr>
        <w:t>Section 28(4) of the Education Act 2002 requires that before exercising t</w:t>
      </w:r>
      <w:r w:rsidR="002B6C7F">
        <w:rPr>
          <w:color w:val="000000"/>
        </w:rPr>
        <w:t>he community facilities power, governing b</w:t>
      </w:r>
      <w:r w:rsidRPr="0017132A">
        <w:rPr>
          <w:color w:val="000000"/>
        </w:rPr>
        <w:t xml:space="preserve">odies must consult the </w:t>
      </w:r>
      <w:proofErr w:type="gramStart"/>
      <w:r w:rsidRPr="0017132A">
        <w:rPr>
          <w:color w:val="000000"/>
        </w:rPr>
        <w:t>Authority, and</w:t>
      </w:r>
      <w:proofErr w:type="gramEnd"/>
      <w:r w:rsidRPr="0017132A">
        <w:rPr>
          <w:color w:val="000000"/>
        </w:rPr>
        <w:t xml:space="preserve"> have regard to advice given to them by the Authority.</w:t>
      </w:r>
    </w:p>
    <w:p w14:paraId="52BFCEAF" w14:textId="77777777" w:rsidR="006D724E" w:rsidRPr="0017132A" w:rsidRDefault="006D724E" w:rsidP="006D724E">
      <w:pPr>
        <w:pStyle w:val="BodyText"/>
        <w:ind w:left="917" w:right="1221"/>
        <w:jc w:val="both"/>
        <w:rPr>
          <w:color w:val="000000"/>
        </w:rPr>
      </w:pPr>
    </w:p>
    <w:p w14:paraId="52BFCEB0" w14:textId="77777777" w:rsidR="006D724E" w:rsidRDefault="009F37FD" w:rsidP="006D724E">
      <w:pPr>
        <w:pStyle w:val="BodyText"/>
        <w:ind w:left="917" w:right="1221"/>
        <w:jc w:val="both"/>
        <w:rPr>
          <w:color w:val="000000"/>
        </w:rPr>
      </w:pPr>
      <w:r w:rsidRPr="0017132A">
        <w:rPr>
          <w:color w:val="000000"/>
        </w:rPr>
        <w:t>Accordingly, schools shall be required to submit all appropriate information at a time and in a manner requested by the Authority prior to exercising their community facilities power.</w:t>
      </w:r>
    </w:p>
    <w:p w14:paraId="52BFCEB1" w14:textId="77777777" w:rsidR="006D724E" w:rsidRPr="0017132A" w:rsidRDefault="006D724E" w:rsidP="006D724E">
      <w:pPr>
        <w:pStyle w:val="BodyText"/>
        <w:ind w:left="917" w:right="1221"/>
        <w:jc w:val="both"/>
        <w:rPr>
          <w:color w:val="000000"/>
        </w:rPr>
      </w:pPr>
    </w:p>
    <w:p w14:paraId="52BFCEB2" w14:textId="77777777" w:rsidR="006D724E" w:rsidRDefault="009F37FD" w:rsidP="006D724E">
      <w:pPr>
        <w:pStyle w:val="BodyText"/>
        <w:ind w:left="917" w:right="1221"/>
        <w:jc w:val="both"/>
        <w:rPr>
          <w:color w:val="000000"/>
        </w:rPr>
      </w:pPr>
      <w:r w:rsidRPr="0017132A">
        <w:rPr>
          <w:color w:val="000000"/>
        </w:rPr>
        <w:t>The Authority will then advise schools of their position and reasoning within a reasonable time of this submission.</w:t>
      </w:r>
    </w:p>
    <w:p w14:paraId="52BFCEB3" w14:textId="77777777" w:rsidR="006D724E" w:rsidRPr="0017132A" w:rsidRDefault="006D724E" w:rsidP="006D724E">
      <w:pPr>
        <w:pStyle w:val="BodyText"/>
        <w:ind w:left="917" w:right="1221"/>
        <w:jc w:val="both"/>
        <w:rPr>
          <w:color w:val="000000"/>
        </w:rPr>
      </w:pPr>
    </w:p>
    <w:p w14:paraId="52BFCEB4" w14:textId="77777777" w:rsidR="006D724E" w:rsidRDefault="009F37FD" w:rsidP="006D724E">
      <w:pPr>
        <w:pStyle w:val="BodyText"/>
        <w:ind w:left="917" w:right="1221"/>
        <w:jc w:val="both"/>
        <w:rPr>
          <w:color w:val="000000"/>
        </w:rPr>
      </w:pPr>
      <w:r w:rsidRPr="0017132A">
        <w:rPr>
          <w:color w:val="000000"/>
        </w:rPr>
        <w:t>The Authority will not levy a charge for this advice.</w:t>
      </w:r>
    </w:p>
    <w:p w14:paraId="52BFCEB5" w14:textId="77777777" w:rsidR="006D724E" w:rsidRPr="0017132A" w:rsidRDefault="006D724E" w:rsidP="006D724E">
      <w:pPr>
        <w:pStyle w:val="BodyText"/>
        <w:ind w:left="917" w:right="1221"/>
        <w:jc w:val="both"/>
        <w:rPr>
          <w:color w:val="000000"/>
        </w:rPr>
      </w:pPr>
    </w:p>
    <w:p w14:paraId="52BFCEB6" w14:textId="77777777" w:rsidR="006D724E" w:rsidRPr="004C4563" w:rsidRDefault="009F37FD" w:rsidP="006D724E">
      <w:pPr>
        <w:pStyle w:val="Heading1"/>
        <w:jc w:val="both"/>
        <w:rPr>
          <w:szCs w:val="22"/>
        </w:rPr>
      </w:pPr>
      <w:bookmarkStart w:id="32" w:name="_Toc413162214"/>
      <w:r w:rsidRPr="004C4563">
        <w:rPr>
          <w:szCs w:val="22"/>
        </w:rPr>
        <w:t>13.4</w:t>
      </w:r>
      <w:r w:rsidRPr="004C4563">
        <w:rPr>
          <w:szCs w:val="22"/>
        </w:rPr>
        <w:tab/>
        <w:t>Funding Agreements</w:t>
      </w:r>
      <w:bookmarkEnd w:id="32"/>
    </w:p>
    <w:p w14:paraId="52BFCEB7" w14:textId="77777777" w:rsidR="006D724E" w:rsidRDefault="009F37FD" w:rsidP="006D724E">
      <w:pPr>
        <w:pStyle w:val="BodyText"/>
        <w:ind w:left="917" w:right="1221"/>
        <w:jc w:val="both"/>
        <w:rPr>
          <w:color w:val="000000"/>
        </w:rPr>
      </w:pPr>
      <w:r w:rsidRPr="0017132A">
        <w:rPr>
          <w:color w:val="000000"/>
        </w:rPr>
        <w:t>The provision of community facilities in many schools may be dependent on the conclusion of a funding agreement with a third party which will either be supplying funding or supplying funding and taking part in the provision.  A very wide range of bodies and organisations are potentially involved.</w:t>
      </w:r>
    </w:p>
    <w:p w14:paraId="52BFCEB8" w14:textId="77777777" w:rsidR="006D724E" w:rsidRPr="0017132A" w:rsidRDefault="006D724E" w:rsidP="006D724E">
      <w:pPr>
        <w:pStyle w:val="BodyText"/>
        <w:ind w:left="917" w:right="1221"/>
        <w:jc w:val="both"/>
        <w:rPr>
          <w:color w:val="000000"/>
        </w:rPr>
      </w:pPr>
    </w:p>
    <w:p w14:paraId="52BFCEB9" w14:textId="77777777" w:rsidR="006D724E" w:rsidRDefault="009F37FD" w:rsidP="006D724E">
      <w:pPr>
        <w:pStyle w:val="BodyText"/>
        <w:ind w:left="917" w:right="1221"/>
        <w:jc w:val="both"/>
        <w:rPr>
          <w:color w:val="000000"/>
        </w:rPr>
      </w:pPr>
      <w:r w:rsidRPr="0017132A">
        <w:rPr>
          <w:color w:val="000000"/>
        </w:rPr>
        <w:t>The Authority requires that schools give adequate notice of any proposed agreement involving third party funding and that the full details be submitted to the Authority for its comments.  The Authority shall advise the school but shall not then have the right of veto if the school chooses to act contrary to this advice.</w:t>
      </w:r>
    </w:p>
    <w:p w14:paraId="52BFCEBA" w14:textId="77777777" w:rsidR="006D724E" w:rsidRPr="0017132A" w:rsidRDefault="006D724E" w:rsidP="006D724E">
      <w:pPr>
        <w:pStyle w:val="BodyText"/>
        <w:ind w:left="917" w:right="1221"/>
        <w:jc w:val="both"/>
        <w:rPr>
          <w:color w:val="000000"/>
        </w:rPr>
      </w:pPr>
    </w:p>
    <w:p w14:paraId="52BFCEBB" w14:textId="77777777" w:rsidR="006D724E" w:rsidRDefault="009F37FD" w:rsidP="006D724E">
      <w:pPr>
        <w:pStyle w:val="BodyText"/>
        <w:ind w:left="917" w:right="1221"/>
        <w:jc w:val="both"/>
        <w:rPr>
          <w:color w:val="000000"/>
        </w:rPr>
      </w:pPr>
      <w:r w:rsidRPr="0017132A">
        <w:rPr>
          <w:color w:val="000000"/>
        </w:rPr>
        <w:t>However, if a funding agreement is entered into against the wishes of the Authority, which in the view of the Authority is seriously prejudicial to the interests of the school or the A</w:t>
      </w:r>
      <w:r>
        <w:rPr>
          <w:color w:val="000000"/>
        </w:rPr>
        <w:t xml:space="preserve">uthority, </w:t>
      </w:r>
      <w:r w:rsidRPr="0017132A">
        <w:rPr>
          <w:color w:val="000000"/>
        </w:rPr>
        <w:t>that may constitute grounds for suspension of the right to a delegated budget.</w:t>
      </w:r>
    </w:p>
    <w:p w14:paraId="52BFCEBC" w14:textId="77777777" w:rsidR="006D724E" w:rsidRDefault="006D724E" w:rsidP="006D724E">
      <w:pPr>
        <w:pStyle w:val="BodyText"/>
        <w:ind w:left="917" w:right="1221"/>
        <w:jc w:val="both"/>
        <w:rPr>
          <w:color w:val="000000"/>
        </w:rPr>
      </w:pPr>
    </w:p>
    <w:p w14:paraId="52BFCEBD" w14:textId="4C3854B7" w:rsidR="006D724E" w:rsidRDefault="009F37FD" w:rsidP="00540994">
      <w:pPr>
        <w:pStyle w:val="BodyText"/>
        <w:ind w:left="919" w:right="1060"/>
        <w:jc w:val="both"/>
        <w:rPr>
          <w:color w:val="000000"/>
        </w:rPr>
      </w:pPr>
      <w:r w:rsidRPr="0017132A">
        <w:rPr>
          <w:color w:val="000000"/>
        </w:rPr>
        <w:lastRenderedPageBreak/>
        <w:t>T</w:t>
      </w:r>
      <w:r w:rsidR="002B6C7F">
        <w:rPr>
          <w:color w:val="000000"/>
        </w:rPr>
        <w:t>he Authority shall require the governing b</w:t>
      </w:r>
      <w:r w:rsidRPr="0017132A">
        <w:rPr>
          <w:color w:val="000000"/>
        </w:rPr>
        <w:t>ody of a school entering into such agreements to make adequate arrangements to protect the financial interests of the Authority.  The Authority will give advice as to any necessary arrangements, which may involve either carrying out the activity concerned through the vehicle of a limited company formed for the purpose, or by obtaining indemnity insurance for risks associated with the project in question, available to such schools.</w:t>
      </w:r>
    </w:p>
    <w:p w14:paraId="52BFCEBE" w14:textId="77777777" w:rsidR="006D724E" w:rsidRPr="0017132A" w:rsidRDefault="006D724E" w:rsidP="006D724E">
      <w:pPr>
        <w:pStyle w:val="BodyText"/>
        <w:ind w:left="917" w:right="1221"/>
        <w:jc w:val="both"/>
        <w:rPr>
          <w:color w:val="000000"/>
        </w:rPr>
      </w:pPr>
    </w:p>
    <w:p w14:paraId="52BFCEBF" w14:textId="3569BC45" w:rsidR="006D724E" w:rsidRPr="004C4563" w:rsidRDefault="009F37FD" w:rsidP="00540994">
      <w:pPr>
        <w:pStyle w:val="Heading1"/>
        <w:jc w:val="both"/>
        <w:rPr>
          <w:szCs w:val="22"/>
        </w:rPr>
      </w:pPr>
      <w:bookmarkStart w:id="33" w:name="_Toc413162215"/>
      <w:r w:rsidRPr="004C4563">
        <w:rPr>
          <w:szCs w:val="22"/>
        </w:rPr>
        <w:t>13.5</w:t>
      </w:r>
      <w:r w:rsidRPr="004C4563">
        <w:rPr>
          <w:szCs w:val="22"/>
        </w:rPr>
        <w:tab/>
        <w:t xml:space="preserve">Other </w:t>
      </w:r>
      <w:r w:rsidR="00B158BB">
        <w:rPr>
          <w:szCs w:val="22"/>
        </w:rPr>
        <w:t>Prohibitions, Restrictions and L</w:t>
      </w:r>
      <w:r w:rsidRPr="004C4563">
        <w:rPr>
          <w:szCs w:val="22"/>
        </w:rPr>
        <w:t>imitations</w:t>
      </w:r>
      <w:bookmarkEnd w:id="33"/>
    </w:p>
    <w:p w14:paraId="52BFCEC0" w14:textId="77777777" w:rsidR="006D724E" w:rsidRDefault="009F37FD" w:rsidP="00540994">
      <w:pPr>
        <w:pStyle w:val="BodyText"/>
        <w:ind w:left="919" w:right="1060"/>
        <w:jc w:val="both"/>
        <w:rPr>
          <w:color w:val="000000"/>
        </w:rPr>
      </w:pPr>
      <w:r w:rsidRPr="009118A3">
        <w:rPr>
          <w:color w:val="000000"/>
        </w:rPr>
        <w:t>At this time the Authority does not intend to introduce any further prohibitions, restrictions or limitations over and above those contained in the main scheme.  The Authority does however reserve the right to introduce additional prohibitions, restrictions and limitations in the future, should the need arise.</w:t>
      </w:r>
    </w:p>
    <w:p w14:paraId="52BFCEC1" w14:textId="77777777" w:rsidR="006D724E" w:rsidRPr="009118A3" w:rsidRDefault="006D724E" w:rsidP="006D724E">
      <w:pPr>
        <w:pStyle w:val="BodyText"/>
        <w:ind w:left="917" w:right="1221"/>
        <w:jc w:val="both"/>
        <w:rPr>
          <w:color w:val="000000"/>
        </w:rPr>
      </w:pPr>
    </w:p>
    <w:p w14:paraId="52BFCEC2" w14:textId="77777777" w:rsidR="006D724E" w:rsidRPr="004C4563" w:rsidRDefault="009F37FD" w:rsidP="006D724E">
      <w:pPr>
        <w:pStyle w:val="Heading1"/>
        <w:jc w:val="both"/>
        <w:rPr>
          <w:szCs w:val="22"/>
        </w:rPr>
      </w:pPr>
      <w:bookmarkStart w:id="34" w:name="_Toc413162216"/>
      <w:r w:rsidRPr="004C4563">
        <w:rPr>
          <w:szCs w:val="22"/>
        </w:rPr>
        <w:t>13.6</w:t>
      </w:r>
      <w:r w:rsidRPr="004C4563">
        <w:rPr>
          <w:szCs w:val="22"/>
        </w:rPr>
        <w:tab/>
        <w:t>Supply of Financial Information</w:t>
      </w:r>
      <w:bookmarkEnd w:id="34"/>
    </w:p>
    <w:p w14:paraId="52BFCEC3" w14:textId="77777777" w:rsidR="006D724E" w:rsidRDefault="009F37FD" w:rsidP="00540994">
      <w:pPr>
        <w:pStyle w:val="BodyText"/>
        <w:ind w:left="919" w:right="1060"/>
        <w:jc w:val="both"/>
        <w:rPr>
          <w:color w:val="000000"/>
        </w:rPr>
      </w:pPr>
      <w:r w:rsidRPr="009118A3">
        <w:rPr>
          <w:color w:val="000000"/>
        </w:rPr>
        <w:t>Schools which exercise the community facility power may be requested to provide financial information to the Authority from time to time.  Where requested, the information provided should include the income and expenditure for the school arising from the facilities in question for the previous six months and on an estimated basis, for the next six months.  Financial information will not be requested any more frequently than every six months, subject to section 13.6.1 below</w:t>
      </w:r>
      <w:r w:rsidRPr="0017132A">
        <w:rPr>
          <w:color w:val="000000"/>
        </w:rPr>
        <w:t>.</w:t>
      </w:r>
    </w:p>
    <w:p w14:paraId="52BFCEC4" w14:textId="77777777" w:rsidR="006D724E" w:rsidRPr="004C4563" w:rsidRDefault="006D724E" w:rsidP="006D724E">
      <w:pPr>
        <w:pStyle w:val="BodyText"/>
        <w:ind w:left="917" w:right="1221"/>
        <w:jc w:val="both"/>
        <w:rPr>
          <w:color w:val="000000"/>
          <w:sz w:val="24"/>
        </w:rPr>
      </w:pPr>
    </w:p>
    <w:p w14:paraId="52BFCEC5" w14:textId="77777777" w:rsidR="006D724E" w:rsidRPr="004C4563" w:rsidRDefault="009F37FD" w:rsidP="006D724E">
      <w:pPr>
        <w:pStyle w:val="Heading1"/>
        <w:jc w:val="both"/>
        <w:rPr>
          <w:sz w:val="24"/>
          <w:szCs w:val="22"/>
        </w:rPr>
      </w:pPr>
      <w:bookmarkStart w:id="35" w:name="_Toc413162217"/>
      <w:r w:rsidRPr="004C4563">
        <w:rPr>
          <w:sz w:val="24"/>
          <w:szCs w:val="22"/>
        </w:rPr>
        <w:t>13.6.1</w:t>
      </w:r>
      <w:r w:rsidRPr="004C4563">
        <w:rPr>
          <w:sz w:val="24"/>
          <w:szCs w:val="22"/>
        </w:rPr>
        <w:tab/>
        <w:t>Cause for Concern</w:t>
      </w:r>
      <w:bookmarkEnd w:id="35"/>
    </w:p>
    <w:p w14:paraId="52BFCEC6" w14:textId="77777777" w:rsidR="006D724E" w:rsidRDefault="009F37FD" w:rsidP="00540994">
      <w:pPr>
        <w:pStyle w:val="BodyText"/>
        <w:ind w:left="917" w:right="1060"/>
        <w:jc w:val="both"/>
        <w:rPr>
          <w:color w:val="000000"/>
        </w:rPr>
      </w:pPr>
      <w:r w:rsidRPr="0017132A">
        <w:rPr>
          <w:color w:val="000000"/>
        </w:rPr>
        <w:t>If the Authority believes there to be cause for concern as to the school’s management of the financial consequences of the exercise of the community facilities power, it shall give notice to the school that it requires such financial statements to be supplied every three months and, if the Authority sees fit, to require the submission of a recovery plan for the activity in question.</w:t>
      </w:r>
    </w:p>
    <w:p w14:paraId="52BFCEC7" w14:textId="77777777" w:rsidR="006D724E" w:rsidRPr="0017132A" w:rsidRDefault="006D724E" w:rsidP="006D724E">
      <w:pPr>
        <w:pStyle w:val="BodyText"/>
        <w:ind w:left="917" w:right="1221"/>
        <w:jc w:val="both"/>
        <w:rPr>
          <w:color w:val="000000"/>
        </w:rPr>
      </w:pPr>
    </w:p>
    <w:p w14:paraId="52BFCEC8" w14:textId="77777777" w:rsidR="006D724E" w:rsidRPr="004C4563" w:rsidRDefault="009F37FD" w:rsidP="006D724E">
      <w:pPr>
        <w:pStyle w:val="Heading1"/>
        <w:jc w:val="both"/>
        <w:rPr>
          <w:szCs w:val="22"/>
        </w:rPr>
      </w:pPr>
      <w:bookmarkStart w:id="36" w:name="_Toc413162218"/>
      <w:r w:rsidRPr="004C4563">
        <w:rPr>
          <w:szCs w:val="22"/>
        </w:rPr>
        <w:t>13.7</w:t>
      </w:r>
      <w:r w:rsidRPr="004C4563">
        <w:rPr>
          <w:szCs w:val="22"/>
        </w:rPr>
        <w:tab/>
        <w:t>Audit</w:t>
      </w:r>
      <w:bookmarkEnd w:id="36"/>
    </w:p>
    <w:p w14:paraId="52BFCEC9" w14:textId="77777777" w:rsidR="006D724E" w:rsidRPr="0017132A" w:rsidRDefault="009F37FD" w:rsidP="00540994">
      <w:pPr>
        <w:pStyle w:val="BodyText"/>
        <w:ind w:left="917" w:right="1060"/>
        <w:jc w:val="both"/>
        <w:rPr>
          <w:color w:val="000000"/>
        </w:rPr>
      </w:pPr>
      <w:r w:rsidRPr="0017132A">
        <w:rPr>
          <w:color w:val="000000"/>
        </w:rPr>
        <w:t xml:space="preserve">The Authority requires that schools grant access to the school’s records connected with exercise of the community facilities power to appropriate officers </w:t>
      </w:r>
      <w:proofErr w:type="gramStart"/>
      <w:r w:rsidRPr="0017132A">
        <w:rPr>
          <w:color w:val="000000"/>
        </w:rPr>
        <w:t>in order to</w:t>
      </w:r>
      <w:proofErr w:type="gramEnd"/>
      <w:r w:rsidRPr="0017132A">
        <w:rPr>
          <w:color w:val="000000"/>
        </w:rPr>
        <w:t xml:space="preserve"> facilitate internal and external audit of relevant income and expenditure.</w:t>
      </w:r>
    </w:p>
    <w:p w14:paraId="19A14422" w14:textId="77777777" w:rsidR="00540994" w:rsidRDefault="00540994" w:rsidP="006D724E">
      <w:pPr>
        <w:pStyle w:val="BodyText"/>
        <w:ind w:left="917" w:right="1221"/>
        <w:jc w:val="both"/>
        <w:rPr>
          <w:color w:val="000000"/>
        </w:rPr>
      </w:pPr>
    </w:p>
    <w:p w14:paraId="52BFCECA" w14:textId="77777777" w:rsidR="006D724E" w:rsidRDefault="009F37FD" w:rsidP="00540994">
      <w:pPr>
        <w:pStyle w:val="BodyText"/>
        <w:ind w:left="917" w:right="1060"/>
        <w:jc w:val="both"/>
        <w:rPr>
          <w:color w:val="000000"/>
        </w:rPr>
      </w:pPr>
      <w:r w:rsidRPr="0017132A">
        <w:rPr>
          <w:color w:val="000000"/>
        </w:rPr>
        <w:t xml:space="preserve">This provision applies equally to the records and other property of third parties, as detailed above, held on the school premises, or held elsewhere insofar as they relate to the activity in question, </w:t>
      </w:r>
      <w:proofErr w:type="gramStart"/>
      <w:r w:rsidRPr="0017132A">
        <w:rPr>
          <w:color w:val="000000"/>
        </w:rPr>
        <w:t>in order for</w:t>
      </w:r>
      <w:proofErr w:type="gramEnd"/>
      <w:r w:rsidRPr="0017132A">
        <w:rPr>
          <w:color w:val="000000"/>
        </w:rPr>
        <w:t xml:space="preserve"> the Authority to satisfy itself as to the propriety of expenditure on the facilities in question.</w:t>
      </w:r>
    </w:p>
    <w:p w14:paraId="52BFCECB" w14:textId="77777777" w:rsidR="006D724E" w:rsidRPr="0017132A" w:rsidRDefault="006D724E" w:rsidP="006D724E">
      <w:pPr>
        <w:pStyle w:val="BodyText"/>
        <w:ind w:left="917" w:right="1221"/>
        <w:jc w:val="both"/>
        <w:rPr>
          <w:color w:val="000000"/>
        </w:rPr>
      </w:pPr>
    </w:p>
    <w:p w14:paraId="52BFCECC" w14:textId="77777777" w:rsidR="006D724E" w:rsidRPr="0017132A" w:rsidRDefault="009F37FD" w:rsidP="006D724E">
      <w:pPr>
        <w:pStyle w:val="Heading1"/>
        <w:jc w:val="both"/>
        <w:rPr>
          <w:sz w:val="22"/>
          <w:szCs w:val="22"/>
        </w:rPr>
      </w:pPr>
      <w:bookmarkStart w:id="37" w:name="_Toc413162219"/>
      <w:r w:rsidRPr="004C4563">
        <w:rPr>
          <w:szCs w:val="22"/>
        </w:rPr>
        <w:t>13.8</w:t>
      </w:r>
      <w:r w:rsidRPr="004C4563">
        <w:rPr>
          <w:szCs w:val="22"/>
        </w:rPr>
        <w:tab/>
        <w:t>Treatment of Income and Surpluses</w:t>
      </w:r>
      <w:bookmarkEnd w:id="37"/>
    </w:p>
    <w:p w14:paraId="52BFCECD" w14:textId="77777777" w:rsidR="006D724E" w:rsidRDefault="009F37FD" w:rsidP="00540994">
      <w:pPr>
        <w:pStyle w:val="BodyText"/>
        <w:ind w:left="917" w:right="1060"/>
        <w:jc w:val="both"/>
        <w:rPr>
          <w:color w:val="000000"/>
        </w:rPr>
      </w:pPr>
      <w:r w:rsidRPr="0017132A">
        <w:rPr>
          <w:color w:val="000000"/>
        </w:rPr>
        <w:t>Schools shall retain all net income derived from community facilities except where otherwise agreed with a funding provider, whether that is the Authority or some other person.</w:t>
      </w:r>
    </w:p>
    <w:p w14:paraId="5ABF9A93" w14:textId="77777777" w:rsidR="00540994" w:rsidRPr="0017132A" w:rsidRDefault="00540994" w:rsidP="006D724E">
      <w:pPr>
        <w:pStyle w:val="BodyText"/>
        <w:ind w:left="917" w:right="1221"/>
        <w:jc w:val="both"/>
        <w:rPr>
          <w:color w:val="000000"/>
        </w:rPr>
      </w:pPr>
    </w:p>
    <w:p w14:paraId="52BFCECE" w14:textId="77777777" w:rsidR="006D724E" w:rsidRDefault="009F37FD" w:rsidP="00540994">
      <w:pPr>
        <w:pStyle w:val="BodyText"/>
        <w:ind w:left="917" w:right="1060"/>
        <w:jc w:val="both"/>
        <w:rPr>
          <w:color w:val="000000"/>
        </w:rPr>
      </w:pPr>
      <w:r w:rsidRPr="0017132A">
        <w:rPr>
          <w:color w:val="000000"/>
        </w:rPr>
        <w:t>Schools shall be allowed to carry any such retained net income over from one financial year to the next as a separate community facilities surplus.</w:t>
      </w:r>
    </w:p>
    <w:p w14:paraId="52BFCECF" w14:textId="77777777" w:rsidR="006D724E" w:rsidRPr="0017132A" w:rsidRDefault="006D724E" w:rsidP="006D724E">
      <w:pPr>
        <w:pStyle w:val="BodyText"/>
        <w:ind w:left="917" w:right="1221"/>
        <w:jc w:val="both"/>
        <w:rPr>
          <w:color w:val="000000"/>
        </w:rPr>
      </w:pPr>
    </w:p>
    <w:p w14:paraId="52BFCED0" w14:textId="77777777" w:rsidR="006D724E" w:rsidRPr="004C4563" w:rsidRDefault="009F37FD" w:rsidP="006D724E">
      <w:pPr>
        <w:pStyle w:val="Heading1"/>
        <w:jc w:val="both"/>
        <w:rPr>
          <w:szCs w:val="22"/>
        </w:rPr>
      </w:pPr>
      <w:bookmarkStart w:id="38" w:name="_Toc413162220"/>
      <w:r w:rsidRPr="004C4563">
        <w:rPr>
          <w:szCs w:val="22"/>
        </w:rPr>
        <w:t>13.9</w:t>
      </w:r>
      <w:r w:rsidRPr="004C4563">
        <w:rPr>
          <w:szCs w:val="22"/>
        </w:rPr>
        <w:tab/>
        <w:t>Health and Safety</w:t>
      </w:r>
      <w:bookmarkEnd w:id="38"/>
    </w:p>
    <w:p w14:paraId="52BFCED1" w14:textId="77777777" w:rsidR="006D724E" w:rsidRPr="0017132A" w:rsidRDefault="009F37FD" w:rsidP="00540994">
      <w:pPr>
        <w:pStyle w:val="BodyText"/>
        <w:ind w:left="917" w:right="1060"/>
        <w:jc w:val="both"/>
        <w:rPr>
          <w:color w:val="000000"/>
        </w:rPr>
      </w:pPr>
      <w:r w:rsidRPr="0017132A">
        <w:rPr>
          <w:color w:val="000000"/>
        </w:rPr>
        <w:t>The Authority requires the same level of regard to be paid to health and safety in relation to community facilities as detailed in section 11.5 above.</w:t>
      </w:r>
    </w:p>
    <w:p w14:paraId="0399EB86" w14:textId="77777777" w:rsidR="00540994" w:rsidRDefault="00540994" w:rsidP="006D724E">
      <w:pPr>
        <w:pStyle w:val="BodyText"/>
        <w:ind w:left="917" w:right="1221"/>
        <w:jc w:val="both"/>
        <w:rPr>
          <w:color w:val="000000"/>
        </w:rPr>
      </w:pPr>
    </w:p>
    <w:p w14:paraId="52BFCED2" w14:textId="7A65311D" w:rsidR="006D724E" w:rsidRDefault="009F37FD" w:rsidP="00540994">
      <w:pPr>
        <w:pStyle w:val="BodyText"/>
        <w:ind w:left="917" w:right="1060"/>
        <w:jc w:val="both"/>
        <w:rPr>
          <w:color w:val="000000"/>
        </w:rPr>
      </w:pPr>
      <w:r w:rsidRPr="0017132A">
        <w:rPr>
          <w:color w:val="000000"/>
        </w:rPr>
        <w:t xml:space="preserve">The school shall be held responsible for obtaining Disclosure and Barring Service (DBS) clearances for staff and Governors and for ensuring that the clearances are current.  The </w:t>
      </w:r>
      <w:r w:rsidR="00CA1FA9">
        <w:rPr>
          <w:color w:val="000000"/>
        </w:rPr>
        <w:t>g</w:t>
      </w:r>
      <w:r w:rsidRPr="0017132A">
        <w:rPr>
          <w:color w:val="000000"/>
        </w:rPr>
        <w:t xml:space="preserve">overning </w:t>
      </w:r>
      <w:r w:rsidR="00CA1FA9">
        <w:rPr>
          <w:color w:val="000000"/>
        </w:rPr>
        <w:t>bo</w:t>
      </w:r>
      <w:r w:rsidRPr="0017132A">
        <w:rPr>
          <w:color w:val="000000"/>
        </w:rPr>
        <w:t>dy shall be held responsible for securing DBS clearance for all adults involved in community activities taking place during the school day.  Costs of such clearance can be passed on to a funding partner as part of an agreement with that partner.</w:t>
      </w:r>
    </w:p>
    <w:p w14:paraId="52BFCED3" w14:textId="77777777" w:rsidR="006D724E" w:rsidRPr="0017132A" w:rsidRDefault="006D724E" w:rsidP="006D724E">
      <w:pPr>
        <w:pStyle w:val="BodyText"/>
        <w:ind w:left="917" w:right="1221"/>
        <w:jc w:val="both"/>
        <w:rPr>
          <w:color w:val="000000"/>
        </w:rPr>
      </w:pPr>
    </w:p>
    <w:p w14:paraId="52BFCED4" w14:textId="0246471D" w:rsidR="006D724E" w:rsidRPr="004C4563" w:rsidRDefault="009F37FD" w:rsidP="00480689">
      <w:pPr>
        <w:pStyle w:val="Heading1"/>
        <w:ind w:left="1843" w:hanging="926"/>
        <w:jc w:val="both"/>
        <w:rPr>
          <w:szCs w:val="22"/>
        </w:rPr>
      </w:pPr>
      <w:bookmarkStart w:id="39" w:name="_Toc413162221"/>
      <w:r w:rsidRPr="004C4563">
        <w:rPr>
          <w:szCs w:val="22"/>
        </w:rPr>
        <w:t>13.10</w:t>
      </w:r>
      <w:r w:rsidR="00480689">
        <w:rPr>
          <w:szCs w:val="22"/>
        </w:rPr>
        <w:tab/>
      </w:r>
      <w:r w:rsidRPr="004C4563">
        <w:rPr>
          <w:szCs w:val="22"/>
        </w:rPr>
        <w:t>Insurance</w:t>
      </w:r>
      <w:bookmarkEnd w:id="39"/>
      <w:r w:rsidRPr="004C4563">
        <w:rPr>
          <w:szCs w:val="22"/>
        </w:rPr>
        <w:t xml:space="preserve"> </w:t>
      </w:r>
    </w:p>
    <w:p w14:paraId="52BFCED5" w14:textId="0B26E362" w:rsidR="006D724E" w:rsidRDefault="009F37FD" w:rsidP="00540994">
      <w:pPr>
        <w:pStyle w:val="BodyText"/>
        <w:ind w:left="917" w:right="1060"/>
        <w:jc w:val="both"/>
        <w:rPr>
          <w:color w:val="000000"/>
        </w:rPr>
      </w:pPr>
      <w:r w:rsidRPr="0017132A">
        <w:rPr>
          <w:color w:val="000000"/>
        </w:rPr>
        <w:t>I</w:t>
      </w:r>
      <w:r w:rsidR="00CA1FA9">
        <w:rPr>
          <w:color w:val="000000"/>
        </w:rPr>
        <w:t>t is the responsibility of the g</w:t>
      </w:r>
      <w:r w:rsidRPr="0017132A">
        <w:rPr>
          <w:color w:val="000000"/>
        </w:rPr>
        <w:t>overning</w:t>
      </w:r>
      <w:r w:rsidR="00CA1FA9">
        <w:rPr>
          <w:color w:val="000000"/>
        </w:rPr>
        <w:t xml:space="preserve"> b</w:t>
      </w:r>
      <w:r w:rsidRPr="0017132A">
        <w:rPr>
          <w:color w:val="000000"/>
        </w:rPr>
        <w:t>ody to ensure adequate arrangements are made for insurance against risks arising from the exercise of the community facilities power, taking professional advice as necessary.  The school should seek the Authority’s advice before finalising any insurance arrangement for community facilities.</w:t>
      </w:r>
    </w:p>
    <w:p w14:paraId="52BFCED6" w14:textId="77777777" w:rsidR="006D724E" w:rsidRPr="0017132A" w:rsidRDefault="006D724E" w:rsidP="006D724E">
      <w:pPr>
        <w:pStyle w:val="BodyText"/>
        <w:ind w:left="917" w:right="1221"/>
        <w:jc w:val="both"/>
        <w:rPr>
          <w:color w:val="000000"/>
        </w:rPr>
      </w:pPr>
    </w:p>
    <w:p w14:paraId="52BFCED7" w14:textId="77777777" w:rsidR="006D724E" w:rsidRDefault="009F37FD" w:rsidP="00CA1FA9">
      <w:pPr>
        <w:pStyle w:val="BodyText"/>
        <w:ind w:left="917" w:right="1060"/>
        <w:jc w:val="both"/>
      </w:pPr>
      <w:r w:rsidRPr="0017132A">
        <w:rPr>
          <w:color w:val="000000"/>
        </w:rPr>
        <w:t xml:space="preserve">The Authority retains the right to undertake its own assessment of the insurance arrangements made by a school in respect of community facilities, and if it judges those arrangements to be inadequate, to </w:t>
      </w:r>
      <w:proofErr w:type="gramStart"/>
      <w:r w:rsidRPr="0017132A">
        <w:rPr>
          <w:color w:val="000000"/>
        </w:rPr>
        <w:t>make arrangements</w:t>
      </w:r>
      <w:proofErr w:type="gramEnd"/>
      <w:r w:rsidRPr="0017132A">
        <w:rPr>
          <w:color w:val="000000"/>
        </w:rPr>
        <w:t xml:space="preserve"> itself and charge the resultant cost to the school.  </w:t>
      </w:r>
      <w:r w:rsidRPr="009118A3">
        <w:rPr>
          <w:color w:val="000000"/>
        </w:rPr>
        <w:t xml:space="preserve">Such a provision is necessary </w:t>
      </w:r>
      <w:proofErr w:type="gramStart"/>
      <w:r w:rsidRPr="009118A3">
        <w:rPr>
          <w:color w:val="000000"/>
        </w:rPr>
        <w:t>in order for</w:t>
      </w:r>
      <w:proofErr w:type="gramEnd"/>
      <w:r w:rsidRPr="009118A3">
        <w:rPr>
          <w:color w:val="000000"/>
        </w:rPr>
        <w:t xml:space="preserve"> the authority to protect itself against possible </w:t>
      </w:r>
      <w:proofErr w:type="gramStart"/>
      <w:r w:rsidRPr="009118A3">
        <w:rPr>
          <w:color w:val="000000"/>
        </w:rPr>
        <w:t>third party</w:t>
      </w:r>
      <w:proofErr w:type="gramEnd"/>
      <w:r w:rsidRPr="009118A3">
        <w:rPr>
          <w:color w:val="000000"/>
        </w:rPr>
        <w:t xml:space="preserve"> claims.</w:t>
      </w:r>
      <w:r w:rsidRPr="009A260C">
        <w:t xml:space="preserve"> </w:t>
      </w:r>
    </w:p>
    <w:p w14:paraId="52BFCED8" w14:textId="77777777" w:rsidR="006D724E" w:rsidRDefault="009F37FD" w:rsidP="00CA1FA9">
      <w:pPr>
        <w:pStyle w:val="BodyText"/>
        <w:ind w:left="917" w:right="1060"/>
        <w:jc w:val="both"/>
        <w:rPr>
          <w:color w:val="000000"/>
        </w:rPr>
      </w:pPr>
      <w:r w:rsidRPr="006D724E">
        <w:rPr>
          <w:color w:val="000000"/>
        </w:rPr>
        <w:t>Instead of taking out insurance, a school may join the RPA for risks that are covered by the RPA.</w:t>
      </w:r>
    </w:p>
    <w:p w14:paraId="52BFCEDA" w14:textId="77777777" w:rsidR="006D724E" w:rsidRPr="0017132A" w:rsidRDefault="006D724E" w:rsidP="00CA1FA9">
      <w:pPr>
        <w:pStyle w:val="BodyText"/>
        <w:ind w:left="917" w:right="1060"/>
        <w:jc w:val="both"/>
        <w:rPr>
          <w:color w:val="000000"/>
        </w:rPr>
      </w:pPr>
    </w:p>
    <w:p w14:paraId="52BFCEDB" w14:textId="77777777" w:rsidR="006D724E" w:rsidRPr="004C4563" w:rsidRDefault="009F37FD" w:rsidP="004C4563">
      <w:pPr>
        <w:pStyle w:val="Heading1"/>
        <w:ind w:left="1843" w:hanging="926"/>
        <w:jc w:val="both"/>
        <w:rPr>
          <w:szCs w:val="22"/>
        </w:rPr>
      </w:pPr>
      <w:bookmarkStart w:id="40" w:name="_Toc413162222"/>
      <w:r w:rsidRPr="004C4563">
        <w:rPr>
          <w:szCs w:val="22"/>
        </w:rPr>
        <w:t>13.11</w:t>
      </w:r>
      <w:r w:rsidRPr="004C4563">
        <w:rPr>
          <w:szCs w:val="22"/>
        </w:rPr>
        <w:tab/>
        <w:t>Taxation</w:t>
      </w:r>
      <w:bookmarkEnd w:id="40"/>
      <w:r w:rsidRPr="004C4563">
        <w:rPr>
          <w:szCs w:val="22"/>
        </w:rPr>
        <w:t xml:space="preserve"> </w:t>
      </w:r>
    </w:p>
    <w:p w14:paraId="52BFCEDC" w14:textId="77777777" w:rsidR="006D724E" w:rsidRPr="0017132A" w:rsidRDefault="006D724E" w:rsidP="006D724E">
      <w:pPr>
        <w:pStyle w:val="Heading1"/>
        <w:jc w:val="both"/>
        <w:rPr>
          <w:sz w:val="22"/>
          <w:szCs w:val="22"/>
        </w:rPr>
      </w:pPr>
    </w:p>
    <w:p w14:paraId="52BFCEDD" w14:textId="77777777" w:rsidR="006D724E" w:rsidRPr="0017132A" w:rsidRDefault="009F37FD" w:rsidP="006D724E">
      <w:pPr>
        <w:pStyle w:val="Heading1"/>
        <w:jc w:val="both"/>
        <w:rPr>
          <w:sz w:val="22"/>
          <w:szCs w:val="22"/>
        </w:rPr>
      </w:pPr>
      <w:bookmarkStart w:id="41" w:name="_Toc413162223"/>
      <w:r w:rsidRPr="0017132A">
        <w:rPr>
          <w:sz w:val="22"/>
          <w:szCs w:val="22"/>
        </w:rPr>
        <w:t>13.11.1 VAT</w:t>
      </w:r>
      <w:bookmarkEnd w:id="41"/>
    </w:p>
    <w:p w14:paraId="52BFCEDE" w14:textId="77777777" w:rsidR="006D724E" w:rsidRDefault="009F37FD" w:rsidP="00540994">
      <w:pPr>
        <w:pStyle w:val="BodyText"/>
        <w:ind w:left="917" w:right="1060"/>
        <w:jc w:val="both"/>
        <w:rPr>
          <w:color w:val="000000"/>
        </w:rPr>
      </w:pPr>
      <w:r w:rsidRPr="0017132A">
        <w:rPr>
          <w:color w:val="000000"/>
        </w:rPr>
        <w:t>Schools should seek the advice of the Authority and the local HM Revenue &amp; Customs office on any issues relating to the possible imposition of Value Added Tax on expenditure in connection with community facilities, including the use of the Local Authority VAT reclaim facility.</w:t>
      </w:r>
    </w:p>
    <w:p w14:paraId="52BFCEDF" w14:textId="77777777" w:rsidR="006D724E" w:rsidRPr="0017132A" w:rsidRDefault="006D724E" w:rsidP="006D724E">
      <w:pPr>
        <w:pStyle w:val="BodyText"/>
        <w:ind w:left="917" w:right="1221"/>
        <w:jc w:val="both"/>
        <w:rPr>
          <w:color w:val="000000"/>
        </w:rPr>
      </w:pPr>
    </w:p>
    <w:p w14:paraId="52BFCEE0" w14:textId="73DC8C99" w:rsidR="006D724E" w:rsidRPr="0017132A" w:rsidRDefault="004C4563" w:rsidP="004C4563">
      <w:pPr>
        <w:pStyle w:val="Heading1"/>
        <w:ind w:left="1843" w:hanging="926"/>
        <w:jc w:val="both"/>
        <w:rPr>
          <w:sz w:val="22"/>
          <w:szCs w:val="22"/>
        </w:rPr>
      </w:pPr>
      <w:bookmarkStart w:id="42" w:name="_Toc413162224"/>
      <w:r>
        <w:rPr>
          <w:sz w:val="22"/>
          <w:szCs w:val="22"/>
        </w:rPr>
        <w:t>13.11.2</w:t>
      </w:r>
      <w:r>
        <w:rPr>
          <w:sz w:val="22"/>
          <w:szCs w:val="22"/>
        </w:rPr>
        <w:tab/>
      </w:r>
      <w:r w:rsidR="009F37FD" w:rsidRPr="0017132A">
        <w:rPr>
          <w:sz w:val="22"/>
          <w:szCs w:val="22"/>
        </w:rPr>
        <w:t>Income Tax and National Insurance</w:t>
      </w:r>
      <w:bookmarkEnd w:id="42"/>
      <w:r w:rsidR="009F37FD" w:rsidRPr="0017132A">
        <w:rPr>
          <w:sz w:val="22"/>
          <w:szCs w:val="22"/>
        </w:rPr>
        <w:t xml:space="preserve"> </w:t>
      </w:r>
    </w:p>
    <w:p w14:paraId="52BFCEE1" w14:textId="77777777" w:rsidR="006D724E" w:rsidRDefault="009F37FD" w:rsidP="00540994">
      <w:pPr>
        <w:pStyle w:val="BodyText"/>
        <w:ind w:left="919" w:right="1060"/>
        <w:jc w:val="both"/>
        <w:rPr>
          <w:color w:val="000000"/>
        </w:rPr>
      </w:pPr>
      <w:r w:rsidRPr="0017132A">
        <w:rPr>
          <w:color w:val="000000"/>
        </w:rPr>
        <w:t>Schools should be aware that if any member of staff employed by the school or Authority in connection with community facilities at the school is paid from funds held in a school’s own bank account (whether a separate account is used for community facilities or not), the school is likely to be held liable for payment of Income Tax and National Insurance, in line with HM Revenue and Customs rules.</w:t>
      </w:r>
    </w:p>
    <w:p w14:paraId="52BFCEE2" w14:textId="77777777" w:rsidR="006D724E" w:rsidRPr="0017132A" w:rsidRDefault="006D724E" w:rsidP="006D724E">
      <w:pPr>
        <w:pStyle w:val="BodyText"/>
        <w:ind w:left="917" w:right="1221"/>
        <w:jc w:val="both"/>
        <w:rPr>
          <w:color w:val="000000"/>
        </w:rPr>
      </w:pPr>
    </w:p>
    <w:p w14:paraId="52BFCEE3" w14:textId="14637085" w:rsidR="006D724E" w:rsidRPr="0017132A" w:rsidRDefault="004C4563" w:rsidP="004C4563">
      <w:pPr>
        <w:pStyle w:val="Heading1"/>
        <w:ind w:left="1843" w:hanging="926"/>
        <w:jc w:val="both"/>
        <w:rPr>
          <w:sz w:val="22"/>
          <w:szCs w:val="22"/>
        </w:rPr>
      </w:pPr>
      <w:bookmarkStart w:id="43" w:name="_Toc413162225"/>
      <w:r>
        <w:rPr>
          <w:sz w:val="22"/>
          <w:szCs w:val="22"/>
        </w:rPr>
        <w:t>13.11.3</w:t>
      </w:r>
      <w:r>
        <w:rPr>
          <w:sz w:val="22"/>
          <w:szCs w:val="22"/>
        </w:rPr>
        <w:tab/>
      </w:r>
      <w:r w:rsidR="009F37FD" w:rsidRPr="0017132A">
        <w:rPr>
          <w:sz w:val="22"/>
          <w:szCs w:val="22"/>
        </w:rPr>
        <w:t>CIS</w:t>
      </w:r>
      <w:bookmarkEnd w:id="43"/>
    </w:p>
    <w:p w14:paraId="52BFCEE4" w14:textId="77777777" w:rsidR="006D724E" w:rsidRDefault="009F37FD" w:rsidP="00540994">
      <w:pPr>
        <w:pStyle w:val="BodyText"/>
        <w:ind w:left="917" w:right="1060"/>
        <w:jc w:val="both"/>
        <w:rPr>
          <w:color w:val="000000"/>
        </w:rPr>
      </w:pPr>
      <w:r w:rsidRPr="0017132A">
        <w:rPr>
          <w:color w:val="000000"/>
        </w:rPr>
        <w:t>The Authority requires that schools follow Authority advice in relation to the Construction Industry Scheme where this is relevant to the exercise of the community facilities power.</w:t>
      </w:r>
    </w:p>
    <w:p w14:paraId="52BFCEE5" w14:textId="77777777" w:rsidR="006D724E" w:rsidRPr="0017132A" w:rsidRDefault="006D724E" w:rsidP="006D724E">
      <w:pPr>
        <w:pStyle w:val="BodyText"/>
        <w:ind w:left="917" w:right="1221"/>
        <w:jc w:val="both"/>
        <w:rPr>
          <w:color w:val="000000"/>
        </w:rPr>
      </w:pPr>
    </w:p>
    <w:p w14:paraId="52BFCEE6" w14:textId="77777777" w:rsidR="006D724E" w:rsidRPr="004C4563" w:rsidRDefault="009F37FD" w:rsidP="004C4563">
      <w:pPr>
        <w:pStyle w:val="Heading1"/>
        <w:ind w:left="1843" w:hanging="926"/>
        <w:jc w:val="both"/>
        <w:rPr>
          <w:szCs w:val="22"/>
        </w:rPr>
      </w:pPr>
      <w:bookmarkStart w:id="44" w:name="_Toc413162226"/>
      <w:r w:rsidRPr="004C4563">
        <w:rPr>
          <w:szCs w:val="22"/>
        </w:rPr>
        <w:t>13.12</w:t>
      </w:r>
      <w:r w:rsidRPr="004C4563">
        <w:rPr>
          <w:szCs w:val="22"/>
        </w:rPr>
        <w:tab/>
        <w:t>Banking</w:t>
      </w:r>
      <w:bookmarkEnd w:id="44"/>
    </w:p>
    <w:p w14:paraId="52BFCEE7" w14:textId="77777777" w:rsidR="006D724E" w:rsidRDefault="009F37FD" w:rsidP="00540994">
      <w:pPr>
        <w:pStyle w:val="BodyText"/>
        <w:ind w:left="917" w:right="1060"/>
        <w:jc w:val="both"/>
        <w:rPr>
          <w:color w:val="000000"/>
        </w:rPr>
      </w:pPr>
      <w:r w:rsidRPr="0017132A">
        <w:rPr>
          <w:color w:val="000000"/>
        </w:rPr>
        <w:t>The Authority requires that the school can either maintain separate bank accounts for budget share and community facilities or include the expenditure within their budget share but account for the income and expenditure on an identifiable basis (e.g. a separate cost centre and appropriate ledger codes) to enable regular reporting on community facilities.</w:t>
      </w:r>
    </w:p>
    <w:p w14:paraId="52BFCEE8" w14:textId="77777777" w:rsidR="006D724E" w:rsidRPr="009118A3" w:rsidRDefault="006D724E" w:rsidP="006D724E">
      <w:pPr>
        <w:pStyle w:val="BodyText"/>
        <w:ind w:left="917" w:right="1221"/>
        <w:jc w:val="both"/>
        <w:rPr>
          <w:color w:val="000000"/>
        </w:rPr>
      </w:pPr>
    </w:p>
    <w:p w14:paraId="52BFCEE9" w14:textId="77777777" w:rsidR="006D724E" w:rsidRDefault="009F37FD" w:rsidP="00540994">
      <w:pPr>
        <w:pStyle w:val="BodyText"/>
        <w:ind w:left="917" w:right="1060"/>
        <w:jc w:val="both"/>
        <w:rPr>
          <w:color w:val="000000"/>
        </w:rPr>
      </w:pPr>
      <w:r w:rsidRPr="0017132A">
        <w:rPr>
          <w:color w:val="000000"/>
        </w:rPr>
        <w:t>Any new accounts that a school may set up for community facilities must be in line with section 3.5 above.</w:t>
      </w:r>
    </w:p>
    <w:p w14:paraId="52BFCEEA" w14:textId="77777777" w:rsidR="006D724E" w:rsidRPr="0017132A" w:rsidRDefault="006D724E" w:rsidP="006D724E">
      <w:pPr>
        <w:pStyle w:val="BodyText"/>
        <w:ind w:left="917" w:right="1221"/>
        <w:jc w:val="both"/>
        <w:rPr>
          <w:color w:val="000000"/>
        </w:rPr>
      </w:pPr>
    </w:p>
    <w:p w14:paraId="4FCAC50D" w14:textId="77777777" w:rsidR="006D724E" w:rsidRDefault="006D724E">
      <w:pPr>
        <w:rPr>
          <w:b/>
          <w:sz w:val="28"/>
        </w:rPr>
      </w:pPr>
      <w:r>
        <w:rPr>
          <w:b/>
          <w:sz w:val="28"/>
        </w:rPr>
        <w:br w:type="page"/>
      </w:r>
    </w:p>
    <w:p w14:paraId="73BB3907" w14:textId="153B0EC3" w:rsidR="00071532" w:rsidRPr="00071532" w:rsidRDefault="00071532" w:rsidP="00071532">
      <w:pPr>
        <w:tabs>
          <w:tab w:val="left" w:pos="3077"/>
        </w:tabs>
        <w:spacing w:before="72"/>
        <w:ind w:left="917" w:right="1060"/>
        <w:jc w:val="right"/>
        <w:rPr>
          <w:b/>
          <w:sz w:val="32"/>
        </w:rPr>
      </w:pPr>
      <w:r w:rsidRPr="00071532">
        <w:rPr>
          <w:b/>
          <w:sz w:val="32"/>
        </w:rPr>
        <w:lastRenderedPageBreak/>
        <w:t>APPENDIX 1</w:t>
      </w:r>
    </w:p>
    <w:p w14:paraId="52BFCEEE" w14:textId="09008356" w:rsidR="006D724E" w:rsidRDefault="009F37FD">
      <w:pPr>
        <w:tabs>
          <w:tab w:val="left" w:pos="3077"/>
        </w:tabs>
        <w:spacing w:before="72"/>
        <w:ind w:left="917"/>
        <w:rPr>
          <w:b/>
          <w:sz w:val="28"/>
        </w:rPr>
      </w:pPr>
      <w:r>
        <w:rPr>
          <w:b/>
          <w:sz w:val="28"/>
        </w:rPr>
        <w:t>Schools Covered by the</w:t>
      </w:r>
      <w:r>
        <w:rPr>
          <w:b/>
          <w:spacing w:val="-7"/>
          <w:sz w:val="28"/>
        </w:rPr>
        <w:t xml:space="preserve"> </w:t>
      </w:r>
      <w:r>
        <w:rPr>
          <w:b/>
          <w:sz w:val="28"/>
        </w:rPr>
        <w:t>Scheme</w:t>
      </w:r>
    </w:p>
    <w:p w14:paraId="52BFCEEF" w14:textId="77777777" w:rsidR="006D724E" w:rsidRPr="001908C5" w:rsidRDefault="006D724E">
      <w:pPr>
        <w:pStyle w:val="BodyText"/>
        <w:spacing w:before="8"/>
      </w:pPr>
    </w:p>
    <w:p w14:paraId="52BFCEF3" w14:textId="77777777" w:rsidR="006D724E" w:rsidRDefault="006D724E" w:rsidP="006D724E">
      <w:pPr>
        <w:pStyle w:val="BodyText"/>
        <w:tabs>
          <w:tab w:val="left" w:pos="10206"/>
        </w:tabs>
        <w:ind w:left="917" w:right="1344"/>
        <w:sectPr w:rsidR="006D724E">
          <w:pgSz w:w="11910" w:h="16840"/>
          <w:pgMar w:top="760" w:right="140" w:bottom="280" w:left="220" w:header="720" w:footer="720" w:gutter="0"/>
          <w:cols w:space="720"/>
        </w:sectPr>
      </w:pPr>
    </w:p>
    <w:p w14:paraId="408AD119" w14:textId="77777777" w:rsidR="003B50EE" w:rsidRDefault="003B50EE" w:rsidP="003B50EE">
      <w:r>
        <w:t>Gorse Hall Primary</w:t>
      </w:r>
    </w:p>
    <w:p w14:paraId="288484F3" w14:textId="77777777" w:rsidR="003B50EE" w:rsidRDefault="003B50EE" w:rsidP="003B50EE">
      <w:r>
        <w:t>Stalyhill Juniors</w:t>
      </w:r>
    </w:p>
    <w:p w14:paraId="7EED2215" w14:textId="77777777" w:rsidR="003B50EE" w:rsidRDefault="003B50EE" w:rsidP="003B50EE">
      <w:r>
        <w:t>Arlies Primary</w:t>
      </w:r>
    </w:p>
    <w:p w14:paraId="6A418E97" w14:textId="77777777" w:rsidR="003B50EE" w:rsidRDefault="003B50EE" w:rsidP="003B50EE">
      <w:r>
        <w:t>Broadbent Fold Primary</w:t>
      </w:r>
    </w:p>
    <w:p w14:paraId="70082692" w14:textId="77777777" w:rsidR="003B50EE" w:rsidRDefault="003B50EE" w:rsidP="003B50EE">
      <w:r>
        <w:t>The Heys Primary</w:t>
      </w:r>
    </w:p>
    <w:p w14:paraId="03BCA894" w14:textId="77777777" w:rsidR="003B50EE" w:rsidRDefault="003B50EE" w:rsidP="003B50EE">
      <w:r>
        <w:t>Audenshaw Primary</w:t>
      </w:r>
    </w:p>
    <w:p w14:paraId="779BDADA" w14:textId="77777777" w:rsidR="003B50EE" w:rsidRDefault="003B50EE" w:rsidP="003B50EE">
      <w:r>
        <w:t>Russell Scott Primary</w:t>
      </w:r>
    </w:p>
    <w:p w14:paraId="3127DA07" w14:textId="77777777" w:rsidR="003B50EE" w:rsidRDefault="003B50EE" w:rsidP="003B50EE">
      <w:r>
        <w:t>Fairfield Road Primary</w:t>
      </w:r>
    </w:p>
    <w:p w14:paraId="60E409B2" w14:textId="77777777" w:rsidR="003B50EE" w:rsidRDefault="003B50EE" w:rsidP="003B50EE">
      <w:r>
        <w:t>Livingstone Primary</w:t>
      </w:r>
    </w:p>
    <w:p w14:paraId="7C20F93F" w14:textId="77777777" w:rsidR="003B50EE" w:rsidRDefault="003B50EE" w:rsidP="003B50EE">
      <w:proofErr w:type="spellStart"/>
      <w:r>
        <w:t>Stalyhill</w:t>
      </w:r>
      <w:proofErr w:type="spellEnd"/>
      <w:r>
        <w:t xml:space="preserve"> Infants</w:t>
      </w:r>
    </w:p>
    <w:p w14:paraId="18BF4612" w14:textId="77777777" w:rsidR="003B50EE" w:rsidRDefault="003B50EE" w:rsidP="003B50EE">
      <w:r>
        <w:t>St Johns C of E Primary</w:t>
      </w:r>
    </w:p>
    <w:p w14:paraId="7CEFEB8A" w14:textId="77777777" w:rsidR="003B50EE" w:rsidRDefault="003B50EE" w:rsidP="003B50EE">
      <w:r>
        <w:t>Hurst Knoll St James C of E Primary</w:t>
      </w:r>
    </w:p>
    <w:p w14:paraId="1B2C0685" w14:textId="77777777" w:rsidR="003B50EE" w:rsidRDefault="003B50EE" w:rsidP="003B50EE">
      <w:r>
        <w:t>Milton St John C of E Primary</w:t>
      </w:r>
    </w:p>
    <w:p w14:paraId="0302D9B0" w14:textId="77777777" w:rsidR="003B50EE" w:rsidRDefault="003B50EE" w:rsidP="003B50EE">
      <w:r>
        <w:t>Micklehurst All Saints Primary</w:t>
      </w:r>
    </w:p>
    <w:p w14:paraId="133C5456" w14:textId="77777777" w:rsidR="003B50EE" w:rsidRDefault="003B50EE" w:rsidP="003B50EE">
      <w:r>
        <w:t>St Raphaels Catholic Primary</w:t>
      </w:r>
    </w:p>
    <w:p w14:paraId="0C7C2570" w14:textId="77777777" w:rsidR="003B50EE" w:rsidRDefault="003B50EE" w:rsidP="003B50EE">
      <w:r>
        <w:t>Holy Trinity C of E Primary</w:t>
      </w:r>
    </w:p>
    <w:p w14:paraId="11B4E406" w14:textId="77777777" w:rsidR="003B50EE" w:rsidRDefault="003B50EE" w:rsidP="003B50EE">
      <w:r>
        <w:t>St Peters C of E Primary</w:t>
      </w:r>
    </w:p>
    <w:p w14:paraId="06C24E31" w14:textId="77777777" w:rsidR="003B50EE" w:rsidRDefault="003B50EE" w:rsidP="003B50EE">
      <w:r>
        <w:t>St Marys C of E Primary</w:t>
      </w:r>
    </w:p>
    <w:p w14:paraId="673E74AE" w14:textId="77777777" w:rsidR="003B50EE" w:rsidRDefault="003B50EE" w:rsidP="003B50EE">
      <w:r>
        <w:t>Canon Burrows C of E Primary</w:t>
      </w:r>
    </w:p>
    <w:p w14:paraId="620F30F8" w14:textId="77777777" w:rsidR="003B50EE" w:rsidRDefault="003B50EE" w:rsidP="003B50EE">
      <w:r>
        <w:t>St Marys RC Primary</w:t>
      </w:r>
    </w:p>
    <w:p w14:paraId="7BD67A4C" w14:textId="77777777" w:rsidR="003B50EE" w:rsidRDefault="003B50EE" w:rsidP="003B50EE">
      <w:r>
        <w:t>St Josephs RC Primary</w:t>
      </w:r>
    </w:p>
    <w:p w14:paraId="2C7F2F4F" w14:textId="77777777" w:rsidR="003B50EE" w:rsidRDefault="003B50EE" w:rsidP="003B50EE">
      <w:r>
        <w:t xml:space="preserve">Our Lady </w:t>
      </w:r>
      <w:proofErr w:type="gramStart"/>
      <w:r>
        <w:t>Of</w:t>
      </w:r>
      <w:proofErr w:type="gramEnd"/>
      <w:r>
        <w:t xml:space="preserve"> Mount Carmel RC Primary</w:t>
      </w:r>
    </w:p>
    <w:p w14:paraId="2646B873" w14:textId="77777777" w:rsidR="003B50EE" w:rsidRDefault="003B50EE" w:rsidP="003B50EE">
      <w:r>
        <w:t>Alder Community High</w:t>
      </w:r>
    </w:p>
    <w:p w14:paraId="7701BE67" w14:textId="77777777" w:rsidR="003B50EE" w:rsidRDefault="003B50EE" w:rsidP="003B50EE">
      <w:r>
        <w:t>St Damians RC College</w:t>
      </w:r>
    </w:p>
    <w:p w14:paraId="18F27F4B" w14:textId="77777777" w:rsidR="003B50EE" w:rsidRDefault="003B50EE" w:rsidP="003B50EE">
      <w:r>
        <w:t>St Thomas More RC College</w:t>
      </w:r>
    </w:p>
    <w:p w14:paraId="41355E45" w14:textId="1F1E82EC" w:rsidR="00071532" w:rsidRDefault="009F37FD" w:rsidP="003B50EE">
      <w:pPr>
        <w:rPr>
          <w:b/>
          <w:sz w:val="28"/>
        </w:rPr>
      </w:pPr>
      <w:r>
        <w:rPr>
          <w:b/>
          <w:sz w:val="28"/>
        </w:rPr>
        <w:br w:type="page"/>
      </w:r>
      <w:bookmarkStart w:id="45" w:name="Appendix_4.___Capital_/_Revenue_Split"/>
      <w:bookmarkEnd w:id="45"/>
    </w:p>
    <w:p w14:paraId="109B6448" w14:textId="4F391834" w:rsidR="00071532" w:rsidRPr="00071532" w:rsidRDefault="00071532" w:rsidP="00071532">
      <w:pPr>
        <w:jc w:val="right"/>
        <w:rPr>
          <w:b/>
          <w:sz w:val="36"/>
        </w:rPr>
      </w:pPr>
      <w:r w:rsidRPr="00071532">
        <w:rPr>
          <w:b/>
          <w:sz w:val="36"/>
        </w:rPr>
        <w:lastRenderedPageBreak/>
        <w:t>APPENDIX 2</w:t>
      </w:r>
    </w:p>
    <w:p w14:paraId="52BFCF38" w14:textId="376E5136" w:rsidR="006D724E" w:rsidRPr="0062654B" w:rsidRDefault="009F37FD" w:rsidP="006D724E">
      <w:pPr>
        <w:rPr>
          <w:b/>
          <w:sz w:val="28"/>
        </w:rPr>
      </w:pPr>
      <w:r>
        <w:rPr>
          <w:b/>
          <w:sz w:val="28"/>
        </w:rPr>
        <w:t>Procurement Levels</w:t>
      </w:r>
    </w:p>
    <w:p w14:paraId="52BFCF39" w14:textId="77777777" w:rsidR="006D724E" w:rsidRDefault="006D724E" w:rsidP="006D724E">
      <w:pPr>
        <w:rPr>
          <w:b/>
          <w:sz w:val="28"/>
        </w:rPr>
      </w:pPr>
    </w:p>
    <w:p w14:paraId="52BFCF3A" w14:textId="77777777" w:rsidR="006D724E" w:rsidRPr="003C0E35" w:rsidRDefault="009F37FD" w:rsidP="006D724E">
      <w:pPr>
        <w:rPr>
          <w:b/>
          <w:sz w:val="24"/>
        </w:rPr>
      </w:pPr>
      <w:r w:rsidRPr="003C0E35">
        <w:rPr>
          <w:b/>
          <w:sz w:val="24"/>
        </w:rPr>
        <w:t>Supplies and Services Concessions</w:t>
      </w:r>
    </w:p>
    <w:p w14:paraId="52BFCF3B" w14:textId="77777777" w:rsidR="006D724E" w:rsidRDefault="006D724E" w:rsidP="006D724E">
      <w:pPr>
        <w:rPr>
          <w:b/>
          <w:sz w:val="28"/>
        </w:rPr>
      </w:pPr>
    </w:p>
    <w:tbl>
      <w:tblPr>
        <w:tblW w:w="5000" w:type="pct"/>
        <w:tblBorders>
          <w:top w:val="nil"/>
          <w:left w:val="nil"/>
          <w:bottom w:val="nil"/>
          <w:right w:val="nil"/>
        </w:tblBorders>
        <w:tblLook w:val="0000" w:firstRow="0" w:lastRow="0" w:firstColumn="0" w:lastColumn="0" w:noHBand="0" w:noVBand="0"/>
      </w:tblPr>
      <w:tblGrid>
        <w:gridCol w:w="803"/>
        <w:gridCol w:w="1451"/>
        <w:gridCol w:w="4911"/>
        <w:gridCol w:w="2464"/>
      </w:tblGrid>
      <w:tr w:rsidR="000A73BC" w14:paraId="52BFCF43" w14:textId="77777777" w:rsidTr="006D724E">
        <w:trPr>
          <w:trHeight w:val="495"/>
        </w:trPr>
        <w:tc>
          <w:tcPr>
            <w:tcW w:w="4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2BFCF3C" w14:textId="77777777" w:rsidR="006D724E" w:rsidRDefault="006D724E" w:rsidP="006D724E">
            <w:pPr>
              <w:adjustRightInd w:val="0"/>
              <w:rPr>
                <w:b/>
                <w:bCs/>
                <w:color w:val="000000"/>
              </w:rPr>
            </w:pPr>
          </w:p>
          <w:p w14:paraId="52BFCF3D" w14:textId="77777777" w:rsidR="006D724E" w:rsidRPr="00614D1F" w:rsidRDefault="009F37FD" w:rsidP="006D724E">
            <w:pPr>
              <w:adjustRightInd w:val="0"/>
              <w:rPr>
                <w:color w:val="000000"/>
              </w:rPr>
            </w:pPr>
            <w:r w:rsidRPr="00614D1F">
              <w:rPr>
                <w:b/>
                <w:bCs/>
                <w:color w:val="000000"/>
              </w:rPr>
              <w:t xml:space="preserve">Value Band </w:t>
            </w:r>
          </w:p>
        </w:tc>
        <w:tc>
          <w:tcPr>
            <w:tcW w:w="759" w:type="pct"/>
            <w:tcBorders>
              <w:top w:val="single" w:sz="6" w:space="0" w:color="000000"/>
              <w:left w:val="single" w:sz="6" w:space="0" w:color="000000"/>
              <w:bottom w:val="single" w:sz="6" w:space="0" w:color="000000"/>
              <w:right w:val="single" w:sz="4" w:space="0" w:color="000000"/>
            </w:tcBorders>
            <w:shd w:val="clear" w:color="auto" w:fill="D9D9D9" w:themeFill="background1" w:themeFillShade="D9"/>
            <w:vAlign w:val="center"/>
          </w:tcPr>
          <w:p w14:paraId="52BFCF3E" w14:textId="77777777" w:rsidR="006D724E" w:rsidRPr="00614D1F" w:rsidRDefault="009F37FD" w:rsidP="006D724E">
            <w:pPr>
              <w:adjustRightInd w:val="0"/>
              <w:rPr>
                <w:color w:val="000000"/>
              </w:rPr>
            </w:pPr>
            <w:r w:rsidRPr="00614D1F">
              <w:rPr>
                <w:b/>
                <w:bCs/>
                <w:color w:val="000000"/>
              </w:rPr>
              <w:t xml:space="preserve">Value </w:t>
            </w:r>
          </w:p>
        </w:tc>
        <w:tc>
          <w:tcPr>
            <w:tcW w:w="2556"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52BFCF3F" w14:textId="77777777" w:rsidR="006D724E" w:rsidRPr="00614D1F" w:rsidRDefault="009F37FD" w:rsidP="006D724E">
            <w:pPr>
              <w:adjustRightInd w:val="0"/>
              <w:rPr>
                <w:color w:val="000000"/>
              </w:rPr>
            </w:pPr>
            <w:r w:rsidRPr="00614D1F">
              <w:rPr>
                <w:b/>
                <w:bCs/>
                <w:color w:val="000000"/>
              </w:rPr>
              <w:t xml:space="preserve">Procurement Activity </w:t>
            </w:r>
          </w:p>
        </w:tc>
        <w:tc>
          <w:tcPr>
            <w:tcW w:w="1285"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bottom"/>
          </w:tcPr>
          <w:p w14:paraId="52BFCF40" w14:textId="77777777" w:rsidR="006D724E" w:rsidRDefault="006D724E" w:rsidP="006D724E">
            <w:pPr>
              <w:adjustRightInd w:val="0"/>
              <w:rPr>
                <w:b/>
                <w:bCs/>
                <w:color w:val="000000"/>
              </w:rPr>
            </w:pPr>
          </w:p>
          <w:p w14:paraId="52BFCF41" w14:textId="77777777" w:rsidR="006D724E" w:rsidRDefault="009F37FD" w:rsidP="006D724E">
            <w:pPr>
              <w:adjustRightInd w:val="0"/>
              <w:rPr>
                <w:b/>
                <w:bCs/>
                <w:color w:val="000000"/>
              </w:rPr>
            </w:pPr>
            <w:r w:rsidRPr="00614D1F">
              <w:rPr>
                <w:b/>
                <w:bCs/>
                <w:color w:val="000000"/>
              </w:rPr>
              <w:t xml:space="preserve">Minimum Requirement for Advertising the </w:t>
            </w:r>
            <w:r>
              <w:rPr>
                <w:b/>
                <w:bCs/>
                <w:color w:val="000000"/>
              </w:rPr>
              <w:t>O</w:t>
            </w:r>
            <w:r w:rsidRPr="00614D1F">
              <w:rPr>
                <w:b/>
                <w:bCs/>
                <w:color w:val="000000"/>
              </w:rPr>
              <w:t xml:space="preserve">pportunity </w:t>
            </w:r>
          </w:p>
          <w:p w14:paraId="52BFCF42" w14:textId="77777777" w:rsidR="006D724E" w:rsidRPr="00614D1F" w:rsidRDefault="006D724E" w:rsidP="006D724E">
            <w:pPr>
              <w:adjustRightInd w:val="0"/>
              <w:rPr>
                <w:color w:val="000000"/>
              </w:rPr>
            </w:pPr>
          </w:p>
        </w:tc>
      </w:tr>
      <w:tr w:rsidR="000A73BC" w14:paraId="52BFCF48" w14:textId="77777777" w:rsidTr="006D724E">
        <w:trPr>
          <w:trHeight w:val="256"/>
        </w:trPr>
        <w:tc>
          <w:tcPr>
            <w:tcW w:w="400" w:type="pct"/>
            <w:tcBorders>
              <w:top w:val="single" w:sz="6" w:space="0" w:color="000000"/>
              <w:left w:val="single" w:sz="6" w:space="0" w:color="000000"/>
              <w:bottom w:val="single" w:sz="6" w:space="0" w:color="000000"/>
              <w:right w:val="single" w:sz="6" w:space="0" w:color="000000"/>
            </w:tcBorders>
          </w:tcPr>
          <w:p w14:paraId="52BFCF44" w14:textId="77777777" w:rsidR="006D724E" w:rsidRPr="00614D1F" w:rsidRDefault="009F37FD" w:rsidP="006D724E">
            <w:pPr>
              <w:adjustRightInd w:val="0"/>
              <w:spacing w:before="120" w:after="120"/>
              <w:rPr>
                <w:color w:val="000000"/>
              </w:rPr>
            </w:pPr>
            <w:r w:rsidRPr="00614D1F">
              <w:rPr>
                <w:color w:val="000000"/>
              </w:rPr>
              <w:t xml:space="preserve">A </w:t>
            </w:r>
          </w:p>
        </w:tc>
        <w:tc>
          <w:tcPr>
            <w:tcW w:w="759" w:type="pct"/>
            <w:tcBorders>
              <w:top w:val="single" w:sz="6" w:space="0" w:color="000000"/>
              <w:left w:val="single" w:sz="6" w:space="0" w:color="000000"/>
              <w:bottom w:val="single" w:sz="6" w:space="0" w:color="000000"/>
              <w:right w:val="single" w:sz="4" w:space="0" w:color="000000"/>
            </w:tcBorders>
          </w:tcPr>
          <w:p w14:paraId="52BFCF45" w14:textId="77777777" w:rsidR="006D724E" w:rsidRPr="00614D1F" w:rsidRDefault="009F37FD" w:rsidP="006D724E">
            <w:pPr>
              <w:adjustRightInd w:val="0"/>
              <w:spacing w:before="120" w:after="120"/>
              <w:rPr>
                <w:color w:val="000000"/>
              </w:rPr>
            </w:pPr>
            <w:r w:rsidRPr="00614D1F">
              <w:rPr>
                <w:color w:val="000000"/>
              </w:rPr>
              <w:t xml:space="preserve">£0 -£4,999.99 </w:t>
            </w:r>
          </w:p>
        </w:tc>
        <w:tc>
          <w:tcPr>
            <w:tcW w:w="2556" w:type="pct"/>
            <w:tcBorders>
              <w:top w:val="single" w:sz="6" w:space="0" w:color="000000"/>
              <w:left w:val="single" w:sz="4" w:space="0" w:color="000000"/>
              <w:bottom w:val="single" w:sz="6" w:space="0" w:color="000000"/>
              <w:right w:val="single" w:sz="4" w:space="0" w:color="000000"/>
            </w:tcBorders>
          </w:tcPr>
          <w:p w14:paraId="52BFCF46" w14:textId="77777777" w:rsidR="006D724E" w:rsidRPr="00614D1F" w:rsidRDefault="009F37FD" w:rsidP="006D724E">
            <w:pPr>
              <w:adjustRightInd w:val="0"/>
              <w:spacing w:before="120" w:after="120"/>
              <w:rPr>
                <w:color w:val="000000"/>
              </w:rPr>
            </w:pPr>
            <w:r w:rsidRPr="00614D1F">
              <w:rPr>
                <w:color w:val="000000"/>
              </w:rPr>
              <w:t xml:space="preserve">Minimum one Quote in accordance with Rule 6 -Quotes </w:t>
            </w:r>
          </w:p>
        </w:tc>
        <w:tc>
          <w:tcPr>
            <w:tcW w:w="1285" w:type="pct"/>
            <w:tcBorders>
              <w:top w:val="single" w:sz="6" w:space="0" w:color="000000"/>
              <w:left w:val="single" w:sz="4" w:space="0" w:color="000000"/>
              <w:bottom w:val="single" w:sz="6" w:space="0" w:color="000000"/>
              <w:right w:val="single" w:sz="4" w:space="0" w:color="000000"/>
            </w:tcBorders>
          </w:tcPr>
          <w:p w14:paraId="52BFCF47" w14:textId="77777777" w:rsidR="006D724E" w:rsidRPr="00614D1F" w:rsidRDefault="009F37FD" w:rsidP="006D724E">
            <w:pPr>
              <w:adjustRightInd w:val="0"/>
              <w:spacing w:before="120" w:after="120"/>
              <w:rPr>
                <w:color w:val="000000"/>
              </w:rPr>
            </w:pPr>
            <w:r w:rsidRPr="00614D1F">
              <w:rPr>
                <w:color w:val="000000"/>
              </w:rPr>
              <w:t xml:space="preserve">N/A* </w:t>
            </w:r>
          </w:p>
        </w:tc>
      </w:tr>
      <w:tr w:rsidR="000A73BC" w14:paraId="52BFCF4D" w14:textId="77777777" w:rsidTr="006D724E">
        <w:trPr>
          <w:trHeight w:val="385"/>
        </w:trPr>
        <w:tc>
          <w:tcPr>
            <w:tcW w:w="400" w:type="pct"/>
            <w:tcBorders>
              <w:top w:val="single" w:sz="6" w:space="0" w:color="000000"/>
              <w:left w:val="single" w:sz="6" w:space="0" w:color="000000"/>
              <w:bottom w:val="single" w:sz="6" w:space="0" w:color="000000"/>
              <w:right w:val="single" w:sz="6" w:space="0" w:color="000000"/>
            </w:tcBorders>
            <w:vAlign w:val="center"/>
          </w:tcPr>
          <w:p w14:paraId="52BFCF49" w14:textId="77777777" w:rsidR="006D724E" w:rsidRPr="00614D1F" w:rsidRDefault="009F37FD" w:rsidP="006D724E">
            <w:pPr>
              <w:adjustRightInd w:val="0"/>
              <w:spacing w:before="120" w:after="120"/>
              <w:rPr>
                <w:color w:val="000000"/>
              </w:rPr>
            </w:pPr>
            <w:r w:rsidRPr="00614D1F">
              <w:rPr>
                <w:color w:val="000000"/>
              </w:rPr>
              <w:t xml:space="preserve">B </w:t>
            </w:r>
          </w:p>
        </w:tc>
        <w:tc>
          <w:tcPr>
            <w:tcW w:w="759" w:type="pct"/>
            <w:tcBorders>
              <w:top w:val="single" w:sz="6" w:space="0" w:color="000000"/>
              <w:left w:val="single" w:sz="6" w:space="0" w:color="000000"/>
              <w:bottom w:val="single" w:sz="6" w:space="0" w:color="000000"/>
              <w:right w:val="single" w:sz="4" w:space="0" w:color="000000"/>
            </w:tcBorders>
            <w:vAlign w:val="center"/>
          </w:tcPr>
          <w:p w14:paraId="52BFCF4A" w14:textId="77777777" w:rsidR="006D724E" w:rsidRPr="00614D1F" w:rsidRDefault="009F37FD" w:rsidP="006D724E">
            <w:pPr>
              <w:adjustRightInd w:val="0"/>
              <w:spacing w:before="120" w:after="120"/>
              <w:rPr>
                <w:color w:val="000000"/>
              </w:rPr>
            </w:pPr>
            <w:r w:rsidRPr="00614D1F">
              <w:rPr>
                <w:color w:val="000000"/>
              </w:rPr>
              <w:t xml:space="preserve">£5,000.0 </w:t>
            </w:r>
            <w:r w:rsidRPr="00614D1F">
              <w:rPr>
                <w:color w:val="000000"/>
              </w:rPr>
              <w:softHyphen/>
              <w:t xml:space="preserve">£24,999.99 </w:t>
            </w:r>
          </w:p>
        </w:tc>
        <w:tc>
          <w:tcPr>
            <w:tcW w:w="2556" w:type="pct"/>
            <w:tcBorders>
              <w:top w:val="single" w:sz="6" w:space="0" w:color="000000"/>
              <w:left w:val="single" w:sz="4" w:space="0" w:color="000000"/>
              <w:bottom w:val="single" w:sz="6" w:space="0" w:color="000000"/>
              <w:right w:val="single" w:sz="4" w:space="0" w:color="000000"/>
            </w:tcBorders>
          </w:tcPr>
          <w:p w14:paraId="52BFCF4B" w14:textId="77777777" w:rsidR="006D724E" w:rsidRPr="00614D1F" w:rsidRDefault="009F37FD" w:rsidP="006D724E">
            <w:pPr>
              <w:adjustRightInd w:val="0"/>
              <w:spacing w:before="120" w:after="120"/>
              <w:rPr>
                <w:color w:val="000000"/>
              </w:rPr>
            </w:pPr>
            <w:r w:rsidRPr="00614D1F">
              <w:rPr>
                <w:color w:val="000000"/>
              </w:rPr>
              <w:t xml:space="preserve">Minimum three Quotes in accordance with Rule 6 – Quotes following consultation with STAR </w:t>
            </w:r>
          </w:p>
        </w:tc>
        <w:tc>
          <w:tcPr>
            <w:tcW w:w="1285" w:type="pct"/>
            <w:tcBorders>
              <w:top w:val="single" w:sz="6" w:space="0" w:color="000000"/>
              <w:left w:val="single" w:sz="4" w:space="0" w:color="000000"/>
              <w:bottom w:val="single" w:sz="6" w:space="0" w:color="000000"/>
              <w:right w:val="single" w:sz="4" w:space="0" w:color="000000"/>
            </w:tcBorders>
            <w:vAlign w:val="center"/>
          </w:tcPr>
          <w:p w14:paraId="52BFCF4C" w14:textId="77777777" w:rsidR="006D724E" w:rsidRPr="00614D1F" w:rsidRDefault="009F37FD" w:rsidP="006D724E">
            <w:pPr>
              <w:adjustRightInd w:val="0"/>
              <w:spacing w:before="120" w:after="120"/>
              <w:rPr>
                <w:color w:val="000000"/>
              </w:rPr>
            </w:pPr>
            <w:r w:rsidRPr="00614D1F">
              <w:rPr>
                <w:color w:val="000000"/>
              </w:rPr>
              <w:t xml:space="preserve">N/A </w:t>
            </w:r>
          </w:p>
        </w:tc>
      </w:tr>
      <w:tr w:rsidR="000A73BC" w14:paraId="52BFCF52" w14:textId="77777777" w:rsidTr="006D724E">
        <w:trPr>
          <w:trHeight w:val="638"/>
        </w:trPr>
        <w:tc>
          <w:tcPr>
            <w:tcW w:w="400" w:type="pct"/>
            <w:vMerge w:val="restart"/>
            <w:tcBorders>
              <w:top w:val="single" w:sz="6" w:space="0" w:color="000000"/>
              <w:left w:val="single" w:sz="6" w:space="0" w:color="000000"/>
              <w:right w:val="single" w:sz="6" w:space="0" w:color="000000"/>
            </w:tcBorders>
            <w:vAlign w:val="center"/>
          </w:tcPr>
          <w:p w14:paraId="52BFCF4E" w14:textId="77777777" w:rsidR="006D724E" w:rsidRPr="00614D1F" w:rsidRDefault="009F37FD" w:rsidP="006D724E">
            <w:pPr>
              <w:adjustRightInd w:val="0"/>
              <w:spacing w:before="120" w:after="120"/>
              <w:rPr>
                <w:color w:val="000000"/>
              </w:rPr>
            </w:pPr>
            <w:r w:rsidRPr="00614D1F">
              <w:rPr>
                <w:color w:val="000000"/>
              </w:rPr>
              <w:t xml:space="preserve">C </w:t>
            </w:r>
          </w:p>
        </w:tc>
        <w:tc>
          <w:tcPr>
            <w:tcW w:w="759" w:type="pct"/>
            <w:vMerge w:val="restart"/>
            <w:tcBorders>
              <w:top w:val="single" w:sz="6" w:space="0" w:color="000000"/>
              <w:left w:val="single" w:sz="6" w:space="0" w:color="000000"/>
              <w:right w:val="single" w:sz="4" w:space="0" w:color="000000"/>
            </w:tcBorders>
            <w:vAlign w:val="center"/>
          </w:tcPr>
          <w:p w14:paraId="52BFCF4F" w14:textId="77777777" w:rsidR="006D724E" w:rsidRPr="00614D1F" w:rsidRDefault="009F37FD" w:rsidP="006D724E">
            <w:pPr>
              <w:adjustRightInd w:val="0"/>
              <w:spacing w:before="120" w:after="120"/>
              <w:rPr>
                <w:color w:val="000000"/>
              </w:rPr>
            </w:pPr>
            <w:r w:rsidRPr="00614D1F">
              <w:rPr>
                <w:color w:val="000000"/>
              </w:rPr>
              <w:t xml:space="preserve">£25,000 and up to Regulation </w:t>
            </w:r>
          </w:p>
        </w:tc>
        <w:tc>
          <w:tcPr>
            <w:tcW w:w="2556" w:type="pct"/>
            <w:tcBorders>
              <w:top w:val="single" w:sz="6" w:space="0" w:color="000000"/>
              <w:left w:val="single" w:sz="4" w:space="0" w:color="000000"/>
              <w:bottom w:val="single" w:sz="6" w:space="0" w:color="000000"/>
              <w:right w:val="single" w:sz="4" w:space="0" w:color="000000"/>
            </w:tcBorders>
            <w:vAlign w:val="bottom"/>
          </w:tcPr>
          <w:p w14:paraId="52BFCF50" w14:textId="77777777" w:rsidR="006D724E" w:rsidRPr="00614D1F" w:rsidRDefault="009F37FD" w:rsidP="006D724E">
            <w:pPr>
              <w:adjustRightInd w:val="0"/>
              <w:spacing w:before="120" w:after="120"/>
              <w:rPr>
                <w:color w:val="000000"/>
              </w:rPr>
            </w:pPr>
            <w:r w:rsidRPr="00614D1F">
              <w:rPr>
                <w:color w:val="000000"/>
              </w:rPr>
              <w:t xml:space="preserve">Minimum three Quotes in accordance with Rule 6 – Quotes and subject to risk-based sourcing. Route to market to be agreed in conjunction with STAR </w:t>
            </w:r>
          </w:p>
        </w:tc>
        <w:tc>
          <w:tcPr>
            <w:tcW w:w="1285" w:type="pct"/>
            <w:tcBorders>
              <w:top w:val="single" w:sz="6" w:space="0" w:color="000000"/>
              <w:left w:val="single" w:sz="4" w:space="0" w:color="000000"/>
              <w:bottom w:val="single" w:sz="6" w:space="0" w:color="000000"/>
              <w:right w:val="single" w:sz="4" w:space="0" w:color="000000"/>
            </w:tcBorders>
            <w:vAlign w:val="center"/>
          </w:tcPr>
          <w:p w14:paraId="52BFCF51" w14:textId="77777777" w:rsidR="006D724E" w:rsidRPr="00614D1F" w:rsidRDefault="009F37FD" w:rsidP="006D724E">
            <w:pPr>
              <w:adjustRightInd w:val="0"/>
              <w:spacing w:before="120" w:after="120"/>
              <w:rPr>
                <w:color w:val="000000"/>
              </w:rPr>
            </w:pPr>
            <w:r w:rsidRPr="00614D1F">
              <w:rPr>
                <w:color w:val="000000"/>
              </w:rPr>
              <w:t xml:space="preserve">The Chest </w:t>
            </w:r>
          </w:p>
        </w:tc>
      </w:tr>
      <w:tr w:rsidR="000A73BC" w14:paraId="52BFCF57" w14:textId="77777777" w:rsidTr="006D724E">
        <w:trPr>
          <w:trHeight w:val="638"/>
        </w:trPr>
        <w:tc>
          <w:tcPr>
            <w:tcW w:w="400" w:type="pct"/>
            <w:vMerge/>
            <w:tcBorders>
              <w:left w:val="single" w:sz="6" w:space="0" w:color="000000"/>
              <w:bottom w:val="single" w:sz="6" w:space="0" w:color="000000"/>
              <w:right w:val="single" w:sz="6" w:space="0" w:color="000000"/>
            </w:tcBorders>
            <w:vAlign w:val="bottom"/>
          </w:tcPr>
          <w:p w14:paraId="52BFCF53" w14:textId="77777777" w:rsidR="006D724E" w:rsidRPr="00EC1E16" w:rsidRDefault="006D724E" w:rsidP="006D724E">
            <w:pPr>
              <w:adjustRightInd w:val="0"/>
              <w:spacing w:before="120" w:after="120"/>
              <w:rPr>
                <w:color w:val="000000"/>
              </w:rPr>
            </w:pPr>
          </w:p>
        </w:tc>
        <w:tc>
          <w:tcPr>
            <w:tcW w:w="759" w:type="pct"/>
            <w:vMerge/>
            <w:tcBorders>
              <w:left w:val="single" w:sz="6" w:space="0" w:color="000000"/>
              <w:bottom w:val="single" w:sz="6" w:space="0" w:color="000000"/>
              <w:right w:val="single" w:sz="4" w:space="0" w:color="000000"/>
            </w:tcBorders>
            <w:vAlign w:val="bottom"/>
          </w:tcPr>
          <w:p w14:paraId="52BFCF54" w14:textId="77777777" w:rsidR="006D724E" w:rsidRPr="00EC1E16" w:rsidRDefault="006D724E" w:rsidP="006D724E">
            <w:pPr>
              <w:adjustRightInd w:val="0"/>
              <w:spacing w:before="120" w:after="120"/>
              <w:rPr>
                <w:color w:val="000000"/>
              </w:rPr>
            </w:pPr>
          </w:p>
        </w:tc>
        <w:tc>
          <w:tcPr>
            <w:tcW w:w="2556" w:type="pct"/>
            <w:tcBorders>
              <w:top w:val="single" w:sz="6" w:space="0" w:color="000000"/>
              <w:left w:val="single" w:sz="4" w:space="0" w:color="000000"/>
              <w:bottom w:val="single" w:sz="6" w:space="0" w:color="000000"/>
              <w:right w:val="single" w:sz="4" w:space="0" w:color="000000"/>
            </w:tcBorders>
          </w:tcPr>
          <w:p w14:paraId="52BFCF55" w14:textId="77777777" w:rsidR="006D724E" w:rsidRPr="00EC1E16" w:rsidRDefault="009F37FD" w:rsidP="006D724E">
            <w:pPr>
              <w:spacing w:before="120" w:after="120"/>
            </w:pPr>
            <w:r w:rsidRPr="00EC1E16">
              <w:t xml:space="preserve">In accordance with Rule 7 – Tenders and subject to risk-based sourcing. Route to market to be agreed in conjunction with STAR </w:t>
            </w:r>
          </w:p>
        </w:tc>
        <w:tc>
          <w:tcPr>
            <w:tcW w:w="1285" w:type="pct"/>
            <w:tcBorders>
              <w:top w:val="single" w:sz="6" w:space="0" w:color="000000"/>
              <w:left w:val="single" w:sz="4" w:space="0" w:color="000000"/>
              <w:bottom w:val="single" w:sz="6" w:space="0" w:color="000000"/>
              <w:right w:val="single" w:sz="4" w:space="0" w:color="000000"/>
            </w:tcBorders>
          </w:tcPr>
          <w:p w14:paraId="52BFCF56" w14:textId="77777777" w:rsidR="006D724E" w:rsidRPr="00EC1E16" w:rsidRDefault="009F37FD" w:rsidP="006D724E">
            <w:pPr>
              <w:spacing w:before="120" w:after="120"/>
            </w:pPr>
            <w:r w:rsidRPr="00EC1E16">
              <w:t xml:space="preserve">The Chest and Contracts Finder </w:t>
            </w:r>
          </w:p>
        </w:tc>
      </w:tr>
      <w:tr w:rsidR="000A73BC" w14:paraId="52BFCF5C" w14:textId="77777777" w:rsidTr="006D724E">
        <w:trPr>
          <w:trHeight w:val="638"/>
        </w:trPr>
        <w:tc>
          <w:tcPr>
            <w:tcW w:w="400" w:type="pct"/>
            <w:tcBorders>
              <w:top w:val="single" w:sz="6" w:space="0" w:color="000000"/>
              <w:left w:val="single" w:sz="6" w:space="0" w:color="000000"/>
              <w:bottom w:val="single" w:sz="6" w:space="0" w:color="000000"/>
              <w:right w:val="single" w:sz="6" w:space="0" w:color="000000"/>
            </w:tcBorders>
          </w:tcPr>
          <w:p w14:paraId="52BFCF58" w14:textId="77777777" w:rsidR="006D724E" w:rsidRPr="00EC1E16" w:rsidRDefault="009F37FD" w:rsidP="006D724E">
            <w:pPr>
              <w:spacing w:before="120" w:after="120"/>
            </w:pPr>
            <w:r w:rsidRPr="00EC1E16">
              <w:t xml:space="preserve">D </w:t>
            </w:r>
          </w:p>
        </w:tc>
        <w:tc>
          <w:tcPr>
            <w:tcW w:w="759" w:type="pct"/>
            <w:tcBorders>
              <w:top w:val="single" w:sz="6" w:space="0" w:color="000000"/>
              <w:left w:val="single" w:sz="6" w:space="0" w:color="000000"/>
              <w:bottom w:val="single" w:sz="6" w:space="0" w:color="000000"/>
              <w:right w:val="single" w:sz="4" w:space="0" w:color="000000"/>
            </w:tcBorders>
          </w:tcPr>
          <w:p w14:paraId="52BFCF59" w14:textId="77777777" w:rsidR="006D724E" w:rsidRPr="00EC1E16" w:rsidRDefault="009F37FD" w:rsidP="006D724E">
            <w:pPr>
              <w:spacing w:before="120" w:after="120"/>
            </w:pPr>
            <w:r w:rsidRPr="00EC1E16">
              <w:t xml:space="preserve">Above the Regulation Thresholds </w:t>
            </w:r>
          </w:p>
        </w:tc>
        <w:tc>
          <w:tcPr>
            <w:tcW w:w="2556" w:type="pct"/>
            <w:tcBorders>
              <w:top w:val="single" w:sz="6" w:space="0" w:color="000000"/>
              <w:left w:val="single" w:sz="4" w:space="0" w:color="000000"/>
              <w:bottom w:val="single" w:sz="6" w:space="0" w:color="000000"/>
              <w:right w:val="single" w:sz="4" w:space="0" w:color="000000"/>
            </w:tcBorders>
          </w:tcPr>
          <w:p w14:paraId="52BFCF5A" w14:textId="77777777" w:rsidR="006D724E" w:rsidRPr="00EC1E16" w:rsidRDefault="009F37FD" w:rsidP="006D724E">
            <w:pPr>
              <w:spacing w:before="120" w:after="120"/>
            </w:pPr>
            <w:r w:rsidRPr="00EC1E16">
              <w:t xml:space="preserve">Most appropriate procedure permitted by the Regulations </w:t>
            </w:r>
          </w:p>
        </w:tc>
        <w:tc>
          <w:tcPr>
            <w:tcW w:w="1285" w:type="pct"/>
            <w:tcBorders>
              <w:top w:val="single" w:sz="6" w:space="0" w:color="000000"/>
              <w:left w:val="single" w:sz="4" w:space="0" w:color="000000"/>
              <w:bottom w:val="single" w:sz="6" w:space="0" w:color="000000"/>
              <w:right w:val="single" w:sz="4" w:space="0" w:color="000000"/>
            </w:tcBorders>
          </w:tcPr>
          <w:p w14:paraId="52BFCF5B" w14:textId="77777777" w:rsidR="006D724E" w:rsidRPr="00EC1E16" w:rsidRDefault="009F37FD" w:rsidP="006D724E">
            <w:pPr>
              <w:spacing w:before="120" w:after="120"/>
            </w:pPr>
            <w:r w:rsidRPr="00EC1E16">
              <w:t xml:space="preserve">OJEU Notice and Contracts Finder </w:t>
            </w:r>
          </w:p>
        </w:tc>
      </w:tr>
    </w:tbl>
    <w:p w14:paraId="52BFCF5D" w14:textId="77777777" w:rsidR="006D724E" w:rsidRDefault="006D724E" w:rsidP="006D724E">
      <w:pPr>
        <w:rPr>
          <w:b/>
          <w:sz w:val="28"/>
        </w:rPr>
      </w:pPr>
    </w:p>
    <w:p w14:paraId="52BFCF5E" w14:textId="77777777" w:rsidR="006D724E" w:rsidRPr="003C0E35" w:rsidRDefault="009F37FD" w:rsidP="006D724E">
      <w:pPr>
        <w:rPr>
          <w:b/>
          <w:sz w:val="24"/>
        </w:rPr>
      </w:pPr>
      <w:r w:rsidRPr="003C0E35">
        <w:rPr>
          <w:b/>
          <w:sz w:val="24"/>
        </w:rPr>
        <w:t>Works and Public Works Concessions</w:t>
      </w:r>
    </w:p>
    <w:tbl>
      <w:tblPr>
        <w:tblW w:w="5000" w:type="pct"/>
        <w:tblBorders>
          <w:top w:val="nil"/>
          <w:left w:val="nil"/>
          <w:bottom w:val="nil"/>
          <w:right w:val="nil"/>
        </w:tblBorders>
        <w:tblLook w:val="0000" w:firstRow="0" w:lastRow="0" w:firstColumn="0" w:lastColumn="0" w:noHBand="0" w:noVBand="0"/>
      </w:tblPr>
      <w:tblGrid>
        <w:gridCol w:w="804"/>
        <w:gridCol w:w="1442"/>
        <w:gridCol w:w="4928"/>
        <w:gridCol w:w="2455"/>
      </w:tblGrid>
      <w:tr w:rsidR="000A73BC" w14:paraId="52BFCF64" w14:textId="77777777" w:rsidTr="002004AF">
        <w:trPr>
          <w:trHeight w:val="520"/>
        </w:trPr>
        <w:tc>
          <w:tcPr>
            <w:tcW w:w="4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BFCF60" w14:textId="77777777" w:rsidR="006D724E" w:rsidRPr="003C0E35" w:rsidRDefault="009F37FD" w:rsidP="006D724E">
            <w:pPr>
              <w:adjustRightInd w:val="0"/>
              <w:rPr>
                <w:b/>
                <w:bCs/>
                <w:color w:val="000000"/>
              </w:rPr>
            </w:pPr>
            <w:r w:rsidRPr="003C0E35">
              <w:rPr>
                <w:b/>
                <w:bCs/>
                <w:color w:val="000000"/>
              </w:rPr>
              <w:t xml:space="preserve">Value Band </w:t>
            </w:r>
          </w:p>
        </w:tc>
        <w:tc>
          <w:tcPr>
            <w:tcW w:w="749" w:type="pct"/>
            <w:tcBorders>
              <w:top w:val="single" w:sz="6" w:space="0" w:color="000000"/>
              <w:left w:val="single" w:sz="6" w:space="0" w:color="000000"/>
              <w:bottom w:val="single" w:sz="6" w:space="0" w:color="000000"/>
              <w:right w:val="single" w:sz="4" w:space="0" w:color="000000"/>
            </w:tcBorders>
            <w:shd w:val="clear" w:color="auto" w:fill="D9D9D9" w:themeFill="background1" w:themeFillShade="D9"/>
          </w:tcPr>
          <w:p w14:paraId="52BFCF61" w14:textId="77777777" w:rsidR="006D724E" w:rsidRPr="003C0E35" w:rsidRDefault="009F37FD" w:rsidP="006D724E">
            <w:pPr>
              <w:adjustRightInd w:val="0"/>
              <w:rPr>
                <w:b/>
                <w:bCs/>
                <w:color w:val="000000"/>
              </w:rPr>
            </w:pPr>
            <w:r w:rsidRPr="003C0E35">
              <w:rPr>
                <w:b/>
                <w:bCs/>
                <w:color w:val="000000"/>
              </w:rPr>
              <w:t xml:space="preserve">Value </w:t>
            </w:r>
          </w:p>
        </w:tc>
        <w:tc>
          <w:tcPr>
            <w:tcW w:w="2559"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tcPr>
          <w:p w14:paraId="52BFCF62" w14:textId="77777777" w:rsidR="006D724E" w:rsidRPr="003C0E35" w:rsidRDefault="009F37FD" w:rsidP="006D724E">
            <w:pPr>
              <w:adjustRightInd w:val="0"/>
              <w:rPr>
                <w:b/>
                <w:bCs/>
                <w:color w:val="000000"/>
              </w:rPr>
            </w:pPr>
            <w:r w:rsidRPr="003C0E35">
              <w:rPr>
                <w:b/>
                <w:bCs/>
                <w:color w:val="000000"/>
              </w:rPr>
              <w:t xml:space="preserve">Procurement Activity </w:t>
            </w:r>
          </w:p>
        </w:tc>
        <w:tc>
          <w:tcPr>
            <w:tcW w:w="1275"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tcPr>
          <w:p w14:paraId="52BFCF63" w14:textId="77777777" w:rsidR="006D724E" w:rsidRPr="003C0E35" w:rsidRDefault="009F37FD" w:rsidP="006D724E">
            <w:pPr>
              <w:adjustRightInd w:val="0"/>
              <w:rPr>
                <w:b/>
                <w:bCs/>
                <w:color w:val="000000"/>
              </w:rPr>
            </w:pPr>
            <w:r w:rsidRPr="003C0E35">
              <w:rPr>
                <w:b/>
                <w:bCs/>
                <w:color w:val="000000"/>
              </w:rPr>
              <w:t xml:space="preserve">Minimum Requirement for Advertising the Opportunity </w:t>
            </w:r>
          </w:p>
        </w:tc>
      </w:tr>
      <w:tr w:rsidR="000A73BC" w14:paraId="52BFCF69" w14:textId="77777777" w:rsidTr="002004AF">
        <w:trPr>
          <w:trHeight w:val="382"/>
        </w:trPr>
        <w:tc>
          <w:tcPr>
            <w:tcW w:w="417" w:type="pct"/>
            <w:tcBorders>
              <w:top w:val="single" w:sz="6" w:space="0" w:color="000000"/>
              <w:left w:val="single" w:sz="6" w:space="0" w:color="000000"/>
              <w:bottom w:val="single" w:sz="6" w:space="0" w:color="000000"/>
              <w:right w:val="single" w:sz="6" w:space="0" w:color="000000"/>
            </w:tcBorders>
          </w:tcPr>
          <w:p w14:paraId="52BFCF65" w14:textId="77777777" w:rsidR="006D724E" w:rsidRPr="003C0E35" w:rsidRDefault="009F37FD" w:rsidP="006D724E">
            <w:pPr>
              <w:adjustRightInd w:val="0"/>
              <w:jc w:val="center"/>
              <w:rPr>
                <w:color w:val="000000"/>
              </w:rPr>
            </w:pPr>
            <w:r w:rsidRPr="003C0E35">
              <w:rPr>
                <w:color w:val="000000"/>
              </w:rPr>
              <w:t xml:space="preserve">A </w:t>
            </w:r>
          </w:p>
        </w:tc>
        <w:tc>
          <w:tcPr>
            <w:tcW w:w="749" w:type="pct"/>
            <w:tcBorders>
              <w:top w:val="single" w:sz="6" w:space="0" w:color="000000"/>
              <w:left w:val="single" w:sz="6" w:space="0" w:color="000000"/>
              <w:bottom w:val="single" w:sz="6" w:space="0" w:color="000000"/>
              <w:right w:val="single" w:sz="4" w:space="0" w:color="000000"/>
            </w:tcBorders>
          </w:tcPr>
          <w:p w14:paraId="52BFCF66" w14:textId="77777777" w:rsidR="006D724E" w:rsidRPr="003C0E35" w:rsidRDefault="009F37FD" w:rsidP="006D724E">
            <w:pPr>
              <w:adjustRightInd w:val="0"/>
              <w:rPr>
                <w:color w:val="000000"/>
              </w:rPr>
            </w:pPr>
            <w:r w:rsidRPr="003C0E35">
              <w:rPr>
                <w:color w:val="000000"/>
              </w:rPr>
              <w:t xml:space="preserve">£0 -£4,999.99 </w:t>
            </w:r>
          </w:p>
        </w:tc>
        <w:tc>
          <w:tcPr>
            <w:tcW w:w="2559" w:type="pct"/>
            <w:tcBorders>
              <w:top w:val="single" w:sz="6" w:space="0" w:color="000000"/>
              <w:left w:val="single" w:sz="4" w:space="0" w:color="000000"/>
              <w:bottom w:val="single" w:sz="6" w:space="0" w:color="000000"/>
              <w:right w:val="single" w:sz="4" w:space="0" w:color="000000"/>
            </w:tcBorders>
          </w:tcPr>
          <w:p w14:paraId="52BFCF67" w14:textId="77777777" w:rsidR="006D724E" w:rsidRPr="003C0E35" w:rsidRDefault="009F37FD" w:rsidP="006D724E">
            <w:pPr>
              <w:adjustRightInd w:val="0"/>
              <w:rPr>
                <w:color w:val="000000"/>
              </w:rPr>
            </w:pPr>
            <w:r w:rsidRPr="003C0E35">
              <w:rPr>
                <w:color w:val="000000"/>
              </w:rPr>
              <w:t xml:space="preserve">Minimum one Quote in accordance with Rule 6 </w:t>
            </w:r>
            <w:r w:rsidRPr="003C0E35">
              <w:rPr>
                <w:color w:val="000000"/>
              </w:rPr>
              <w:softHyphen/>
              <w:t xml:space="preserve">Quotes </w:t>
            </w:r>
          </w:p>
        </w:tc>
        <w:tc>
          <w:tcPr>
            <w:tcW w:w="1275" w:type="pct"/>
            <w:tcBorders>
              <w:top w:val="single" w:sz="6" w:space="0" w:color="000000"/>
              <w:left w:val="single" w:sz="4" w:space="0" w:color="000000"/>
              <w:bottom w:val="single" w:sz="6" w:space="0" w:color="000000"/>
              <w:right w:val="single" w:sz="4" w:space="0" w:color="000000"/>
            </w:tcBorders>
          </w:tcPr>
          <w:p w14:paraId="52BFCF68" w14:textId="77777777" w:rsidR="006D724E" w:rsidRPr="003C0E35" w:rsidRDefault="009F37FD" w:rsidP="006D724E">
            <w:pPr>
              <w:adjustRightInd w:val="0"/>
              <w:rPr>
                <w:color w:val="000000"/>
              </w:rPr>
            </w:pPr>
            <w:r w:rsidRPr="003C0E35">
              <w:rPr>
                <w:color w:val="000000"/>
              </w:rPr>
              <w:t xml:space="preserve">N/A* </w:t>
            </w:r>
          </w:p>
        </w:tc>
      </w:tr>
      <w:tr w:rsidR="000A73BC" w14:paraId="52BFCF6E" w14:textId="77777777" w:rsidTr="002004AF">
        <w:trPr>
          <w:trHeight w:val="512"/>
        </w:trPr>
        <w:tc>
          <w:tcPr>
            <w:tcW w:w="417" w:type="pct"/>
            <w:tcBorders>
              <w:top w:val="single" w:sz="6" w:space="0" w:color="000000"/>
              <w:left w:val="single" w:sz="6" w:space="0" w:color="000000"/>
              <w:bottom w:val="single" w:sz="6" w:space="0" w:color="000000"/>
              <w:right w:val="single" w:sz="6" w:space="0" w:color="000000"/>
            </w:tcBorders>
          </w:tcPr>
          <w:p w14:paraId="52BFCF6A" w14:textId="77777777" w:rsidR="006D724E" w:rsidRPr="003C0E35" w:rsidRDefault="009F37FD" w:rsidP="006D724E">
            <w:pPr>
              <w:adjustRightInd w:val="0"/>
              <w:jc w:val="center"/>
              <w:rPr>
                <w:color w:val="000000"/>
              </w:rPr>
            </w:pPr>
            <w:r w:rsidRPr="003C0E35">
              <w:rPr>
                <w:color w:val="000000"/>
              </w:rPr>
              <w:t xml:space="preserve">B </w:t>
            </w:r>
          </w:p>
        </w:tc>
        <w:tc>
          <w:tcPr>
            <w:tcW w:w="749" w:type="pct"/>
            <w:tcBorders>
              <w:top w:val="single" w:sz="6" w:space="0" w:color="000000"/>
              <w:left w:val="single" w:sz="6" w:space="0" w:color="000000"/>
              <w:bottom w:val="single" w:sz="6" w:space="0" w:color="000000"/>
              <w:right w:val="single" w:sz="4" w:space="0" w:color="000000"/>
            </w:tcBorders>
          </w:tcPr>
          <w:p w14:paraId="52BFCF6B" w14:textId="77777777" w:rsidR="006D724E" w:rsidRPr="003C0E35" w:rsidRDefault="009F37FD" w:rsidP="006D724E">
            <w:pPr>
              <w:adjustRightInd w:val="0"/>
              <w:rPr>
                <w:color w:val="000000"/>
              </w:rPr>
            </w:pPr>
            <w:r w:rsidRPr="003C0E35">
              <w:rPr>
                <w:color w:val="000000"/>
              </w:rPr>
              <w:t xml:space="preserve">£5,000.0 </w:t>
            </w:r>
            <w:r w:rsidRPr="003C0E35">
              <w:rPr>
                <w:color w:val="000000"/>
              </w:rPr>
              <w:softHyphen/>
              <w:t xml:space="preserve">£24,999.99 </w:t>
            </w:r>
          </w:p>
        </w:tc>
        <w:tc>
          <w:tcPr>
            <w:tcW w:w="2559" w:type="pct"/>
            <w:tcBorders>
              <w:top w:val="single" w:sz="6" w:space="0" w:color="000000"/>
              <w:left w:val="single" w:sz="4" w:space="0" w:color="000000"/>
              <w:bottom w:val="single" w:sz="6" w:space="0" w:color="000000"/>
              <w:right w:val="single" w:sz="4" w:space="0" w:color="000000"/>
            </w:tcBorders>
          </w:tcPr>
          <w:p w14:paraId="52BFCF6C" w14:textId="77777777" w:rsidR="006D724E" w:rsidRPr="003C0E35" w:rsidRDefault="009F37FD" w:rsidP="006D724E">
            <w:pPr>
              <w:adjustRightInd w:val="0"/>
              <w:rPr>
                <w:color w:val="000000"/>
              </w:rPr>
            </w:pPr>
            <w:r w:rsidRPr="003C0E35">
              <w:rPr>
                <w:color w:val="000000"/>
              </w:rPr>
              <w:t xml:space="preserve">Minimum three Quotes in accordance with Rule 6 – Quotes following consultation with STAR </w:t>
            </w:r>
          </w:p>
        </w:tc>
        <w:tc>
          <w:tcPr>
            <w:tcW w:w="1275" w:type="pct"/>
            <w:tcBorders>
              <w:top w:val="single" w:sz="6" w:space="0" w:color="000000"/>
              <w:left w:val="single" w:sz="4" w:space="0" w:color="000000"/>
              <w:bottom w:val="single" w:sz="6" w:space="0" w:color="000000"/>
              <w:right w:val="single" w:sz="4" w:space="0" w:color="000000"/>
            </w:tcBorders>
          </w:tcPr>
          <w:p w14:paraId="52BFCF6D" w14:textId="77777777" w:rsidR="006D724E" w:rsidRPr="003C0E35" w:rsidRDefault="009F37FD" w:rsidP="006D724E">
            <w:pPr>
              <w:adjustRightInd w:val="0"/>
              <w:rPr>
                <w:color w:val="000000"/>
              </w:rPr>
            </w:pPr>
            <w:r w:rsidRPr="003C0E35">
              <w:rPr>
                <w:color w:val="000000"/>
              </w:rPr>
              <w:t xml:space="preserve">N/A </w:t>
            </w:r>
          </w:p>
        </w:tc>
      </w:tr>
      <w:tr w:rsidR="000A73BC" w14:paraId="52BFCF73" w14:textId="77777777" w:rsidTr="002004AF">
        <w:trPr>
          <w:trHeight w:val="890"/>
        </w:trPr>
        <w:tc>
          <w:tcPr>
            <w:tcW w:w="417" w:type="pct"/>
            <w:vMerge w:val="restart"/>
            <w:tcBorders>
              <w:top w:val="single" w:sz="6" w:space="0" w:color="000000"/>
              <w:left w:val="single" w:sz="6" w:space="0" w:color="000000"/>
              <w:right w:val="single" w:sz="6" w:space="0" w:color="000000"/>
            </w:tcBorders>
            <w:vAlign w:val="center"/>
          </w:tcPr>
          <w:p w14:paraId="52BFCF6F" w14:textId="77777777" w:rsidR="006D724E" w:rsidRPr="003C0E35" w:rsidRDefault="009F37FD" w:rsidP="006D724E">
            <w:pPr>
              <w:adjustRightInd w:val="0"/>
              <w:jc w:val="center"/>
              <w:rPr>
                <w:color w:val="000000"/>
              </w:rPr>
            </w:pPr>
            <w:r w:rsidRPr="003C0E35">
              <w:rPr>
                <w:color w:val="000000"/>
              </w:rPr>
              <w:t>C</w:t>
            </w:r>
          </w:p>
        </w:tc>
        <w:tc>
          <w:tcPr>
            <w:tcW w:w="749" w:type="pct"/>
            <w:vMerge w:val="restart"/>
            <w:tcBorders>
              <w:top w:val="single" w:sz="6" w:space="0" w:color="000000"/>
              <w:left w:val="single" w:sz="6" w:space="0" w:color="000000"/>
              <w:right w:val="single" w:sz="4" w:space="0" w:color="000000"/>
            </w:tcBorders>
            <w:vAlign w:val="center"/>
          </w:tcPr>
          <w:p w14:paraId="52BFCF70" w14:textId="77777777" w:rsidR="006D724E" w:rsidRPr="003C0E35" w:rsidRDefault="009F37FD" w:rsidP="006D724E">
            <w:pPr>
              <w:adjustRightInd w:val="0"/>
              <w:rPr>
                <w:color w:val="000000"/>
              </w:rPr>
            </w:pPr>
            <w:r w:rsidRPr="003C0E35">
              <w:rPr>
                <w:color w:val="000000"/>
              </w:rPr>
              <w:t xml:space="preserve">£25,000 -up to the Regulation Threshold </w:t>
            </w:r>
          </w:p>
        </w:tc>
        <w:tc>
          <w:tcPr>
            <w:tcW w:w="2559" w:type="pct"/>
            <w:tcBorders>
              <w:top w:val="single" w:sz="6" w:space="0" w:color="000000"/>
              <w:left w:val="single" w:sz="4" w:space="0" w:color="000000"/>
              <w:bottom w:val="single" w:sz="6" w:space="0" w:color="000000"/>
              <w:right w:val="single" w:sz="4" w:space="0" w:color="000000"/>
            </w:tcBorders>
          </w:tcPr>
          <w:p w14:paraId="52BFCF71" w14:textId="77777777" w:rsidR="006D724E" w:rsidRPr="003C0E35" w:rsidRDefault="009F37FD" w:rsidP="006D724E">
            <w:pPr>
              <w:adjustRightInd w:val="0"/>
              <w:rPr>
                <w:color w:val="000000"/>
              </w:rPr>
            </w:pPr>
            <w:r w:rsidRPr="003C0E35">
              <w:rPr>
                <w:color w:val="000000"/>
              </w:rPr>
              <w:t xml:space="preserve">Minimum three Quotes in accordance with Rule 6 – Quotes and subject to risk-based sourcing. Route to market to be agreed in conjunction with STAR </w:t>
            </w:r>
          </w:p>
        </w:tc>
        <w:tc>
          <w:tcPr>
            <w:tcW w:w="1275" w:type="pct"/>
            <w:tcBorders>
              <w:top w:val="single" w:sz="6" w:space="0" w:color="000000"/>
              <w:left w:val="single" w:sz="4" w:space="0" w:color="000000"/>
              <w:bottom w:val="single" w:sz="6" w:space="0" w:color="000000"/>
              <w:right w:val="single" w:sz="4" w:space="0" w:color="000000"/>
            </w:tcBorders>
          </w:tcPr>
          <w:p w14:paraId="52BFCF72" w14:textId="77777777" w:rsidR="006D724E" w:rsidRPr="003C0E35" w:rsidRDefault="009F37FD" w:rsidP="006D724E">
            <w:pPr>
              <w:adjustRightInd w:val="0"/>
              <w:rPr>
                <w:color w:val="000000"/>
              </w:rPr>
            </w:pPr>
            <w:r w:rsidRPr="003C0E35">
              <w:rPr>
                <w:color w:val="000000"/>
              </w:rPr>
              <w:t xml:space="preserve">The Chest </w:t>
            </w:r>
          </w:p>
        </w:tc>
      </w:tr>
      <w:tr w:rsidR="000A73BC" w14:paraId="52BFCF78" w14:textId="77777777" w:rsidTr="002004AF">
        <w:trPr>
          <w:trHeight w:val="890"/>
        </w:trPr>
        <w:tc>
          <w:tcPr>
            <w:tcW w:w="417" w:type="pct"/>
            <w:vMerge/>
            <w:tcBorders>
              <w:left w:val="single" w:sz="6" w:space="0" w:color="000000"/>
              <w:bottom w:val="single" w:sz="6" w:space="0" w:color="000000"/>
              <w:right w:val="single" w:sz="6" w:space="0" w:color="000000"/>
            </w:tcBorders>
          </w:tcPr>
          <w:p w14:paraId="52BFCF74" w14:textId="77777777" w:rsidR="006D724E" w:rsidRPr="003C0E35" w:rsidRDefault="006D724E" w:rsidP="006D724E">
            <w:pPr>
              <w:adjustRightInd w:val="0"/>
              <w:jc w:val="center"/>
              <w:rPr>
                <w:color w:val="000000"/>
              </w:rPr>
            </w:pPr>
          </w:p>
        </w:tc>
        <w:tc>
          <w:tcPr>
            <w:tcW w:w="749" w:type="pct"/>
            <w:vMerge/>
            <w:tcBorders>
              <w:left w:val="single" w:sz="6" w:space="0" w:color="000000"/>
              <w:bottom w:val="single" w:sz="6" w:space="0" w:color="000000"/>
              <w:right w:val="single" w:sz="4" w:space="0" w:color="000000"/>
            </w:tcBorders>
          </w:tcPr>
          <w:p w14:paraId="52BFCF75" w14:textId="77777777" w:rsidR="006D724E" w:rsidRPr="003C0E35" w:rsidRDefault="006D724E" w:rsidP="006D724E">
            <w:pPr>
              <w:adjustRightInd w:val="0"/>
              <w:rPr>
                <w:color w:val="000000"/>
              </w:rPr>
            </w:pPr>
          </w:p>
        </w:tc>
        <w:tc>
          <w:tcPr>
            <w:tcW w:w="2559" w:type="pct"/>
            <w:tcBorders>
              <w:top w:val="single" w:sz="6" w:space="0" w:color="000000"/>
              <w:left w:val="single" w:sz="4" w:space="0" w:color="000000"/>
              <w:bottom w:val="single" w:sz="6" w:space="0" w:color="000000"/>
              <w:right w:val="single" w:sz="4" w:space="0" w:color="000000"/>
            </w:tcBorders>
          </w:tcPr>
          <w:p w14:paraId="52BFCF76" w14:textId="77777777" w:rsidR="006D724E" w:rsidRPr="003C0E35" w:rsidRDefault="009F37FD" w:rsidP="006D724E">
            <w:pPr>
              <w:adjustRightInd w:val="0"/>
              <w:rPr>
                <w:color w:val="000000"/>
              </w:rPr>
            </w:pPr>
            <w:r w:rsidRPr="003C0E35">
              <w:rPr>
                <w:color w:val="000000"/>
              </w:rPr>
              <w:t xml:space="preserve">In accordance with Rule 7 –Tenders and subject to risk-based sourcing. Route to market to be agreed in conjunction with STAR </w:t>
            </w:r>
          </w:p>
        </w:tc>
        <w:tc>
          <w:tcPr>
            <w:tcW w:w="1275" w:type="pct"/>
            <w:tcBorders>
              <w:top w:val="single" w:sz="6" w:space="0" w:color="000000"/>
              <w:left w:val="single" w:sz="4" w:space="0" w:color="000000"/>
              <w:bottom w:val="single" w:sz="6" w:space="0" w:color="000000"/>
              <w:right w:val="single" w:sz="4" w:space="0" w:color="000000"/>
            </w:tcBorders>
          </w:tcPr>
          <w:p w14:paraId="52BFCF77" w14:textId="77777777" w:rsidR="006D724E" w:rsidRPr="003C0E35" w:rsidRDefault="009F37FD" w:rsidP="006D724E">
            <w:pPr>
              <w:adjustRightInd w:val="0"/>
              <w:rPr>
                <w:color w:val="000000"/>
              </w:rPr>
            </w:pPr>
            <w:r w:rsidRPr="003C0E35">
              <w:rPr>
                <w:color w:val="000000"/>
              </w:rPr>
              <w:t xml:space="preserve">The Chest and Contracts Finder </w:t>
            </w:r>
          </w:p>
        </w:tc>
      </w:tr>
      <w:tr w:rsidR="000A73BC" w14:paraId="52BFCF7D" w14:textId="77777777" w:rsidTr="002004AF">
        <w:trPr>
          <w:trHeight w:val="383"/>
        </w:trPr>
        <w:tc>
          <w:tcPr>
            <w:tcW w:w="417" w:type="pct"/>
            <w:tcBorders>
              <w:top w:val="single" w:sz="6" w:space="0" w:color="000000"/>
              <w:left w:val="single" w:sz="6" w:space="0" w:color="000000"/>
              <w:bottom w:val="single" w:sz="6" w:space="0" w:color="000000"/>
              <w:right w:val="single" w:sz="6" w:space="0" w:color="000000"/>
            </w:tcBorders>
          </w:tcPr>
          <w:p w14:paraId="52BFCF79" w14:textId="77777777" w:rsidR="006D724E" w:rsidRPr="003C0E35" w:rsidRDefault="009F37FD" w:rsidP="006D724E">
            <w:pPr>
              <w:adjustRightInd w:val="0"/>
              <w:jc w:val="center"/>
              <w:rPr>
                <w:color w:val="000000"/>
              </w:rPr>
            </w:pPr>
            <w:r w:rsidRPr="003C0E35">
              <w:rPr>
                <w:color w:val="000000"/>
              </w:rPr>
              <w:t xml:space="preserve">D </w:t>
            </w:r>
          </w:p>
        </w:tc>
        <w:tc>
          <w:tcPr>
            <w:tcW w:w="749" w:type="pct"/>
            <w:tcBorders>
              <w:top w:val="single" w:sz="6" w:space="0" w:color="000000"/>
              <w:left w:val="single" w:sz="6" w:space="0" w:color="000000"/>
              <w:bottom w:val="single" w:sz="6" w:space="0" w:color="000000"/>
              <w:right w:val="single" w:sz="4" w:space="0" w:color="000000"/>
            </w:tcBorders>
          </w:tcPr>
          <w:p w14:paraId="52BFCF7A" w14:textId="77777777" w:rsidR="006D724E" w:rsidRPr="003C0E35" w:rsidRDefault="009F37FD" w:rsidP="006D724E">
            <w:pPr>
              <w:adjustRightInd w:val="0"/>
              <w:rPr>
                <w:color w:val="000000"/>
              </w:rPr>
            </w:pPr>
            <w:r w:rsidRPr="003C0E35">
              <w:rPr>
                <w:color w:val="000000"/>
              </w:rPr>
              <w:t xml:space="preserve">Above the Regulation Thresholds </w:t>
            </w:r>
          </w:p>
        </w:tc>
        <w:tc>
          <w:tcPr>
            <w:tcW w:w="2559" w:type="pct"/>
            <w:tcBorders>
              <w:top w:val="single" w:sz="6" w:space="0" w:color="000000"/>
              <w:left w:val="single" w:sz="4" w:space="0" w:color="000000"/>
              <w:bottom w:val="single" w:sz="6" w:space="0" w:color="000000"/>
              <w:right w:val="single" w:sz="4" w:space="0" w:color="000000"/>
            </w:tcBorders>
          </w:tcPr>
          <w:p w14:paraId="52BFCF7B" w14:textId="77777777" w:rsidR="006D724E" w:rsidRPr="003C0E35" w:rsidRDefault="009F37FD" w:rsidP="006D724E">
            <w:pPr>
              <w:adjustRightInd w:val="0"/>
              <w:rPr>
                <w:color w:val="000000"/>
              </w:rPr>
            </w:pPr>
            <w:r w:rsidRPr="003C0E35">
              <w:rPr>
                <w:color w:val="000000"/>
              </w:rPr>
              <w:t xml:space="preserve">Most appropriate procedure permitted by the Regulations </w:t>
            </w:r>
          </w:p>
        </w:tc>
        <w:tc>
          <w:tcPr>
            <w:tcW w:w="1275" w:type="pct"/>
            <w:tcBorders>
              <w:top w:val="single" w:sz="6" w:space="0" w:color="000000"/>
              <w:left w:val="single" w:sz="4" w:space="0" w:color="000000"/>
              <w:bottom w:val="single" w:sz="6" w:space="0" w:color="000000"/>
              <w:right w:val="single" w:sz="4" w:space="0" w:color="000000"/>
            </w:tcBorders>
          </w:tcPr>
          <w:p w14:paraId="52BFCF7C" w14:textId="77777777" w:rsidR="006D724E" w:rsidRPr="003C0E35" w:rsidRDefault="009F37FD" w:rsidP="006D724E">
            <w:pPr>
              <w:adjustRightInd w:val="0"/>
              <w:rPr>
                <w:color w:val="000000"/>
              </w:rPr>
            </w:pPr>
            <w:r w:rsidRPr="003C0E35">
              <w:rPr>
                <w:color w:val="000000"/>
              </w:rPr>
              <w:t xml:space="preserve">OJEU notice and Contracts Finder </w:t>
            </w:r>
          </w:p>
        </w:tc>
      </w:tr>
    </w:tbl>
    <w:p w14:paraId="52BFCF7E" w14:textId="77777777" w:rsidR="006D724E" w:rsidRDefault="006D724E" w:rsidP="006D724E">
      <w:pPr>
        <w:rPr>
          <w:b/>
          <w:sz w:val="28"/>
        </w:rPr>
      </w:pPr>
    </w:p>
    <w:p w14:paraId="52BFCF7F" w14:textId="6CDA8727" w:rsidR="006D724E" w:rsidRPr="009E2C1F" w:rsidRDefault="009F37FD" w:rsidP="006D724E">
      <w:r w:rsidRPr="009E2C1F">
        <w:t>ST</w:t>
      </w:r>
      <w:r>
        <w:t>A</w:t>
      </w:r>
      <w:r w:rsidRPr="009E2C1F">
        <w:t xml:space="preserve">R are the authorities procurement provider </w:t>
      </w:r>
      <w:r>
        <w:t xml:space="preserve">and schools </w:t>
      </w:r>
      <w:proofErr w:type="gramStart"/>
      <w:r>
        <w:t>are able to</w:t>
      </w:r>
      <w:proofErr w:type="gramEnd"/>
      <w:r>
        <w:t xml:space="preserve"> buy an SLA serv</w:t>
      </w:r>
      <w:r w:rsidR="00BA5065">
        <w:t xml:space="preserve">ice from STAR should they wish </w:t>
      </w:r>
      <w:r>
        <w:t>to engage STAR to lead/support them with a piece of procurement</w:t>
      </w:r>
      <w:r w:rsidR="00071532">
        <w:t>.</w:t>
      </w:r>
      <w:r>
        <w:t xml:space="preserve"> </w:t>
      </w:r>
      <w:r w:rsidR="00071532">
        <w:t xml:space="preserve"> T</w:t>
      </w:r>
      <w:r>
        <w:t xml:space="preserve">hey can contact STAR on </w:t>
      </w:r>
      <w:hyperlink r:id="rId26" w:history="1">
        <w:r w:rsidRPr="00187CC5">
          <w:rPr>
            <w:rStyle w:val="Hyperlink"/>
          </w:rPr>
          <w:t>bids@star-procurement.gov.uk</w:t>
        </w:r>
      </w:hyperlink>
      <w:r>
        <w:t xml:space="preserve"> for a quotation</w:t>
      </w:r>
      <w:r w:rsidR="00071532">
        <w:t>.</w:t>
      </w:r>
    </w:p>
    <w:p w14:paraId="39E6C0ED" w14:textId="44D4CED6" w:rsidR="001908C5" w:rsidRPr="001908C5" w:rsidRDefault="001908C5" w:rsidP="001908C5">
      <w:pPr>
        <w:spacing w:before="75"/>
        <w:jc w:val="right"/>
        <w:rPr>
          <w:sz w:val="36"/>
        </w:rPr>
      </w:pPr>
      <w:r>
        <w:rPr>
          <w:b/>
          <w:sz w:val="36"/>
        </w:rPr>
        <w:lastRenderedPageBreak/>
        <w:t>APPENDIX 3</w:t>
      </w:r>
    </w:p>
    <w:p w14:paraId="52BFCF82" w14:textId="585116DB" w:rsidR="006D724E" w:rsidRPr="0062654B" w:rsidRDefault="009F37FD" w:rsidP="00480689">
      <w:pPr>
        <w:spacing w:before="75"/>
        <w:jc w:val="both"/>
        <w:rPr>
          <w:b/>
          <w:sz w:val="28"/>
        </w:rPr>
      </w:pPr>
      <w:r w:rsidRPr="0062654B">
        <w:rPr>
          <w:b/>
          <w:sz w:val="28"/>
        </w:rPr>
        <w:t>P</w:t>
      </w:r>
      <w:r>
        <w:rPr>
          <w:b/>
          <w:sz w:val="28"/>
        </w:rPr>
        <w:t>olicy for the Responsibility of Redundancy and Early Retirement Cost in Schools</w:t>
      </w:r>
    </w:p>
    <w:p w14:paraId="52BFCF83"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This guidance note summarises the position relating to the charging of voluntary early retirement and redundancy costs. It sets out what is specified in legislation and provides some examples of when it might be appropriate to charge an individual school’s budget, the central </w:t>
      </w:r>
      <w:proofErr w:type="gramStart"/>
      <w:r w:rsidRPr="002A096D">
        <w:rPr>
          <w:rFonts w:eastAsia="Times New Roman"/>
          <w:lang w:val="en" w:bidi="ar-SA"/>
        </w:rPr>
        <w:t>schools</w:t>
      </w:r>
      <w:proofErr w:type="gramEnd"/>
      <w:r w:rsidRPr="002A096D">
        <w:rPr>
          <w:rFonts w:eastAsia="Times New Roman"/>
          <w:lang w:val="en" w:bidi="ar-SA"/>
        </w:rPr>
        <w:t xml:space="preserve"> budget or the local authority’s non-</w:t>
      </w:r>
      <w:proofErr w:type="gramStart"/>
      <w:r w:rsidRPr="002A096D">
        <w:rPr>
          <w:rFonts w:eastAsia="Times New Roman"/>
          <w:lang w:val="en" w:bidi="ar-SA"/>
        </w:rPr>
        <w:t>schools</w:t>
      </w:r>
      <w:proofErr w:type="gramEnd"/>
      <w:r w:rsidRPr="002A096D">
        <w:rPr>
          <w:rFonts w:eastAsia="Times New Roman"/>
          <w:lang w:val="en" w:bidi="ar-SA"/>
        </w:rPr>
        <w:t xml:space="preserve"> budget.</w:t>
      </w:r>
    </w:p>
    <w:p w14:paraId="52BFCF84"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Section 37 of the 2002 Education Act says:</w:t>
      </w:r>
    </w:p>
    <w:p w14:paraId="52BFCF85" w14:textId="77777777" w:rsidR="006D724E" w:rsidRPr="002A096D" w:rsidRDefault="009F37FD" w:rsidP="00480689">
      <w:pPr>
        <w:widowControl/>
        <w:autoSpaceDE/>
        <w:autoSpaceDN/>
        <w:spacing w:beforeAutospacing="1" w:after="100" w:afterAutospacing="1"/>
        <w:jc w:val="both"/>
        <w:rPr>
          <w:rFonts w:eastAsia="Times New Roman"/>
          <w:lang w:val="en" w:bidi="ar-SA"/>
        </w:rPr>
      </w:pPr>
      <w:r w:rsidRPr="002A096D">
        <w:rPr>
          <w:rFonts w:eastAsia="Times New Roman"/>
          <w:lang w:val="en" w:bidi="ar-SA"/>
        </w:rPr>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2BFCF86"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52BFCF87" w14:textId="77777777" w:rsidR="006D724E" w:rsidRPr="002A096D" w:rsidRDefault="009F37FD" w:rsidP="00480689">
      <w:pPr>
        <w:widowControl/>
        <w:autoSpaceDE/>
        <w:autoSpaceDN/>
        <w:spacing w:before="100" w:beforeAutospacing="1" w:afterAutospacing="1"/>
        <w:jc w:val="both"/>
        <w:rPr>
          <w:rFonts w:eastAsia="Times New Roman"/>
          <w:lang w:val="en" w:bidi="ar-SA"/>
        </w:rPr>
      </w:pPr>
      <w:r w:rsidRPr="002A096D">
        <w:rPr>
          <w:rFonts w:eastAsia="Times New Roman"/>
          <w:lang w:val="en" w:bidi="ar-SA"/>
        </w:rPr>
        <w:t>(6) The fact that the authority have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52BFCF88"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The default position, therefore, is that premature retirement costs must be charged to the school’s delegated budget, while redundancy costs must be charged to the local authority’s budget.</w:t>
      </w:r>
    </w:p>
    <w:p w14:paraId="52BFCF89"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In the former case, the local authority </w:t>
      </w:r>
      <w:proofErr w:type="gramStart"/>
      <w:r w:rsidRPr="002A096D">
        <w:rPr>
          <w:rFonts w:eastAsia="Times New Roman"/>
          <w:lang w:val="en" w:bidi="ar-SA"/>
        </w:rPr>
        <w:t>has to</w:t>
      </w:r>
      <w:proofErr w:type="gramEnd"/>
      <w:r w:rsidRPr="002A096D">
        <w:rPr>
          <w:rFonts w:eastAsia="Times New Roman"/>
          <w:lang w:val="en" w:bidi="ar-SA"/>
        </w:rPr>
        <w:t xml:space="preserve"> agree otherwise for costs to be centrally funded, while in the latter case, there </w:t>
      </w:r>
      <w:proofErr w:type="gramStart"/>
      <w:r w:rsidRPr="002A096D">
        <w:rPr>
          <w:rFonts w:eastAsia="Times New Roman"/>
          <w:lang w:val="en" w:bidi="ar-SA"/>
        </w:rPr>
        <w:t>has to</w:t>
      </w:r>
      <w:proofErr w:type="gramEnd"/>
      <w:r w:rsidRPr="002A096D">
        <w:rPr>
          <w:rFonts w:eastAsia="Times New Roman"/>
          <w:lang w:val="en" w:bidi="ar-SA"/>
        </w:rPr>
        <w:t xml:space="preserve"> be a good reason for it not to be centrally funded, and that cannot include having a no redundancy policy.</w:t>
      </w:r>
    </w:p>
    <w:p w14:paraId="52BFCF8A"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Ultimately, it would be for the courts to decide what was a good reason, but the examples set out below indicate the situations in which exceptions to the default position might be taken.</w:t>
      </w:r>
    </w:p>
    <w:p w14:paraId="52BFCF8B"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Charge of dismissal or resignation costs to delegated school budget:</w:t>
      </w:r>
    </w:p>
    <w:p w14:paraId="52BFCF8C"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proofErr w:type="gramStart"/>
      <w:r w:rsidRPr="002A096D">
        <w:rPr>
          <w:rFonts w:eastAsia="Times New Roman"/>
          <w:lang w:val="en" w:bidi="ar-SA"/>
        </w:rPr>
        <w:t>if</w:t>
      </w:r>
      <w:proofErr w:type="gramEnd"/>
      <w:r w:rsidRPr="002A096D">
        <w:rPr>
          <w:rFonts w:eastAsia="Times New Roman"/>
          <w:lang w:val="en" w:bidi="ar-SA"/>
        </w:rPr>
        <w:t xml:space="preserve"> a school has decided to offer more generous terms than the authority’s policy, then it would be reasonable to charge the excess to the school</w:t>
      </w:r>
    </w:p>
    <w:p w14:paraId="52BFCF8D"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if a school is otherwise acting outside the local authority’s policy</w:t>
      </w:r>
    </w:p>
    <w:p w14:paraId="52BFCF8E"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the school is making staffing reductions which the local authority does not believe are necessary to either set a balanced budget or meet the conditions of a licensed deficit</w:t>
      </w:r>
    </w:p>
    <w:p w14:paraId="52BFCF8F"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staffing reductions arise from a deficit caused by factors within the school’s control</w:t>
      </w:r>
    </w:p>
    <w:p w14:paraId="52BFCF90"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the school has excess surplus balances and no agreed plan to use these</w:t>
      </w:r>
    </w:p>
    <w:p w14:paraId="52BFCF91"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has refused to engage with the local authority’s redeployment policy</w:t>
      </w:r>
    </w:p>
    <w:p w14:paraId="52BFCF92"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Charge of premature retirement costs to local authority non-schools budget or central </w:t>
      </w:r>
      <w:proofErr w:type="gramStart"/>
      <w:r w:rsidRPr="002A096D">
        <w:rPr>
          <w:rFonts w:eastAsia="Times New Roman"/>
          <w:lang w:val="en" w:bidi="ar-SA"/>
        </w:rPr>
        <w:t>schools</w:t>
      </w:r>
      <w:proofErr w:type="gramEnd"/>
      <w:r w:rsidRPr="002A096D">
        <w:rPr>
          <w:rFonts w:eastAsia="Times New Roman"/>
          <w:lang w:val="en" w:bidi="ar-SA"/>
        </w:rPr>
        <w:t xml:space="preserve"> budget:</w:t>
      </w:r>
    </w:p>
    <w:p w14:paraId="52BFCF93"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has a long-term reduction in pupil numbers and charging such costs to their budget would impact on standards</w:t>
      </w:r>
    </w:p>
    <w:p w14:paraId="52BFCF94"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where a school is closing, does not have sufficient balances to cover the costs and where the central </w:t>
      </w:r>
      <w:proofErr w:type="gramStart"/>
      <w:r w:rsidRPr="002A096D">
        <w:rPr>
          <w:rFonts w:eastAsia="Times New Roman"/>
          <w:lang w:val="en" w:bidi="ar-SA"/>
        </w:rPr>
        <w:t>schools</w:t>
      </w:r>
      <w:proofErr w:type="gramEnd"/>
      <w:r w:rsidRPr="002A096D">
        <w:rPr>
          <w:rFonts w:eastAsia="Times New Roman"/>
          <w:lang w:val="en" w:bidi="ar-SA"/>
        </w:rPr>
        <w:t xml:space="preserve"> budget does not have capacity to absorb the deficit</w:t>
      </w:r>
    </w:p>
    <w:p w14:paraId="52BFCF95"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lastRenderedPageBreak/>
        <w:t>where charging such costs to the school’s budget would prevent the school from complying with a requirement to recover a licensed deficit within the agreed timescale</w:t>
      </w:r>
    </w:p>
    <w:p w14:paraId="52BFCF96"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where a school is in special measures, does not have excess balances, and employment of the relevant staff is being or has been terminated </w:t>
      </w:r>
      <w:proofErr w:type="gramStart"/>
      <w:r w:rsidRPr="002A096D">
        <w:rPr>
          <w:rFonts w:eastAsia="Times New Roman"/>
          <w:lang w:val="en" w:bidi="ar-SA"/>
        </w:rPr>
        <w:t>as a result of</w:t>
      </w:r>
      <w:proofErr w:type="gramEnd"/>
      <w:r w:rsidRPr="002A096D">
        <w:rPr>
          <w:rFonts w:eastAsia="Times New Roman"/>
          <w:lang w:val="en" w:bidi="ar-SA"/>
        </w:rPr>
        <w:t xml:space="preserve"> local authority or government intervention to improve standards</w:t>
      </w:r>
    </w:p>
    <w:p w14:paraId="52BFCF97"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Costs of early retirements or redundancies may be charged to the central school services block of the </w:t>
      </w:r>
      <w:proofErr w:type="gramStart"/>
      <w:r w:rsidRPr="002A096D">
        <w:rPr>
          <w:rFonts w:eastAsia="Times New Roman"/>
          <w:lang w:val="en" w:bidi="ar-SA"/>
        </w:rPr>
        <w:t>schools</w:t>
      </w:r>
      <w:proofErr w:type="gramEnd"/>
      <w:r w:rsidRPr="002A096D">
        <w:rPr>
          <w:rFonts w:eastAsia="Times New Roman"/>
          <w:lang w:val="en" w:bidi="ar-SA"/>
        </w:rPr>
        <w:t xml:space="preserve"> budget, as a historic commitment, where the expenditure is to be incurred </w:t>
      </w:r>
      <w:proofErr w:type="gramStart"/>
      <w:r w:rsidRPr="002A096D">
        <w:rPr>
          <w:rFonts w:eastAsia="Times New Roman"/>
          <w:lang w:val="en" w:bidi="ar-SA"/>
        </w:rPr>
        <w:t>as a result of</w:t>
      </w:r>
      <w:proofErr w:type="gramEnd"/>
      <w:r w:rsidRPr="002A096D">
        <w:rPr>
          <w:rFonts w:eastAsia="Times New Roman"/>
          <w:lang w:val="en" w:bidi="ar-SA"/>
        </w:rPr>
        <w:t xml:space="preserve"> retirement and redundancy charges agreed before 1 April 2013. Costs may not exceed the amount budgeted in the previous financial year.</w:t>
      </w:r>
    </w:p>
    <w:p w14:paraId="52BFCF98"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The local authority can retain a central budget within the </w:t>
      </w:r>
      <w:proofErr w:type="gramStart"/>
      <w:r w:rsidRPr="002A096D">
        <w:rPr>
          <w:rFonts w:eastAsia="Times New Roman"/>
          <w:lang w:val="en" w:bidi="ar-SA"/>
        </w:rPr>
        <w:t>schools</w:t>
      </w:r>
      <w:proofErr w:type="gramEnd"/>
      <w:r w:rsidRPr="002A096D">
        <w:rPr>
          <w:rFonts w:eastAsia="Times New Roman"/>
          <w:lang w:val="en" w:bidi="ar-SA"/>
        </w:rPr>
        <w:t xml:space="preserve"> budget to fund the costs of new early retirements or redundancies by a deduction from maintained school budgets, excluding nursery schools, only where the relevant maintained school members of the </w:t>
      </w:r>
      <w:proofErr w:type="gramStart"/>
      <w:r w:rsidRPr="002A096D">
        <w:rPr>
          <w:rFonts w:eastAsia="Times New Roman"/>
          <w:lang w:val="en" w:bidi="ar-SA"/>
        </w:rPr>
        <w:t>schools</w:t>
      </w:r>
      <w:proofErr w:type="gramEnd"/>
      <w:r w:rsidRPr="002A096D">
        <w:rPr>
          <w:rFonts w:eastAsia="Times New Roman"/>
          <w:lang w:val="en" w:bidi="ar-SA"/>
        </w:rPr>
        <w:t xml:space="preserve"> forum agree.</w:t>
      </w:r>
    </w:p>
    <w:p w14:paraId="52BFCF99"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 xml:space="preserve">It is important that the local authority discusses its policy with its </w:t>
      </w:r>
      <w:proofErr w:type="gramStart"/>
      <w:r w:rsidRPr="002A096D">
        <w:rPr>
          <w:rFonts w:eastAsia="Times New Roman"/>
          <w:lang w:val="en" w:bidi="ar-SA"/>
        </w:rPr>
        <w:t>schools</w:t>
      </w:r>
      <w:proofErr w:type="gramEnd"/>
      <w:r w:rsidRPr="002A096D">
        <w:rPr>
          <w:rFonts w:eastAsia="Times New Roman"/>
          <w:lang w:val="en" w:bidi="ar-SA"/>
        </w:rPr>
        <w:t xml:space="preserve"> forum. Although each case should be considered </w:t>
      </w:r>
      <w:proofErr w:type="gramStart"/>
      <w:r w:rsidRPr="002A096D">
        <w:rPr>
          <w:rFonts w:eastAsia="Times New Roman"/>
          <w:lang w:val="en" w:bidi="ar-SA"/>
        </w:rPr>
        <w:t>on</w:t>
      </w:r>
      <w:proofErr w:type="gramEnd"/>
      <w:r w:rsidRPr="002A096D">
        <w:rPr>
          <w:rFonts w:eastAsia="Times New Roman"/>
          <w:lang w:val="en" w:bidi="ar-SA"/>
        </w:rPr>
        <w:t xml:space="preserve"> its merits, this should be within an agreed framework. It may be reasonable to share costs in some cases, and some authorities operate a panel to adjudicate on applications.</w:t>
      </w:r>
    </w:p>
    <w:p w14:paraId="52BFCF9A"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proofErr w:type="gramStart"/>
      <w:r w:rsidRPr="002A096D">
        <w:rPr>
          <w:rFonts w:eastAsia="Times New Roman"/>
          <w:lang w:val="en" w:bidi="ar-SA"/>
        </w:rPr>
        <w:t>A de-</w:t>
      </w:r>
      <w:proofErr w:type="gramEnd"/>
      <w:r w:rsidRPr="002A096D">
        <w:rPr>
          <w:rFonts w:eastAsia="Times New Roman"/>
          <w:lang w:val="en" w:bidi="ar-SA"/>
        </w:rPr>
        <w:t xml:space="preserve">delegated contingency could be provided, if schools forum </w:t>
      </w:r>
      <w:proofErr w:type="gramStart"/>
      <w:r w:rsidRPr="002A096D">
        <w:rPr>
          <w:rFonts w:eastAsia="Times New Roman"/>
          <w:lang w:val="en" w:bidi="ar-SA"/>
        </w:rPr>
        <w:t>agree</w:t>
      </w:r>
      <w:proofErr w:type="gramEnd"/>
      <w:r w:rsidRPr="002A096D">
        <w:rPr>
          <w:rFonts w:eastAsia="Times New Roman"/>
          <w:lang w:val="en" w:bidi="ar-SA"/>
        </w:rPr>
        <w:t>, to support individual schools where a governing body has incurred expenditure which it would be unreasonable to expect them to meet from the school’s budget share.</w:t>
      </w:r>
    </w:p>
    <w:p w14:paraId="52BFCF9B"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52BFCF9C"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Section 37 now states:</w:t>
      </w:r>
    </w:p>
    <w:p w14:paraId="52BFCF9D" w14:textId="77777777" w:rsidR="006D724E" w:rsidRPr="002A096D" w:rsidRDefault="009F37FD" w:rsidP="00480689">
      <w:pPr>
        <w:widowControl/>
        <w:autoSpaceDE/>
        <w:autoSpaceDN/>
        <w:spacing w:beforeAutospacing="1" w:after="100" w:afterAutospacing="1"/>
        <w:jc w:val="both"/>
        <w:rPr>
          <w:rFonts w:eastAsia="Times New Roman"/>
          <w:lang w:val="en" w:bidi="ar-SA"/>
        </w:rPr>
      </w:pPr>
      <w:r w:rsidRPr="002A096D">
        <w:rPr>
          <w:rFonts w:eastAsia="Times New Roman"/>
          <w:lang w:val="en" w:bidi="ar-SA"/>
        </w:rPr>
        <w:t xml:space="preserve">(7) Where a local education authority </w:t>
      </w:r>
      <w:proofErr w:type="gramStart"/>
      <w:r w:rsidRPr="002A096D">
        <w:rPr>
          <w:rFonts w:eastAsia="Times New Roman"/>
          <w:lang w:val="en" w:bidi="ar-SA"/>
        </w:rPr>
        <w:t>incur</w:t>
      </w:r>
      <w:proofErr w:type="gramEnd"/>
      <w:r w:rsidRPr="002A096D">
        <w:rPr>
          <w:rFonts w:eastAsia="Times New Roman"/>
          <w:lang w:val="en" w:bidi="ar-SA"/>
        </w:rPr>
        <w:t xml:space="preserve"> costs—</w:t>
      </w:r>
    </w:p>
    <w:p w14:paraId="52BFCF9E"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(a) in respect of any premature retirement of any member of the staff of a maintained school who is employed for community purposes, or</w:t>
      </w:r>
    </w:p>
    <w:p w14:paraId="52BFCF9F"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(b) in respect of the dismissal, or for the purpose of securing the resignation, of any member of the staff of a maintained school who is employed for those purposes they shall recover those costs from the governing body except in so far as the authority agree with the governing body in writing (whether before or after the retirement, dismissal or resignation occurs) that they shall not be so recoverable.</w:t>
      </w:r>
    </w:p>
    <w:p w14:paraId="52BFCFA0"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52BFCFA1"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138D5FA6" w14:textId="77777777" w:rsidR="002004AF" w:rsidRDefault="009F37FD" w:rsidP="002004AF">
      <w:pPr>
        <w:widowControl/>
        <w:autoSpaceDE/>
        <w:autoSpaceDN/>
        <w:spacing w:before="100" w:beforeAutospacing="1" w:afterAutospacing="1"/>
        <w:jc w:val="both"/>
        <w:rPr>
          <w:rFonts w:eastAsia="Times New Roman"/>
          <w:sz w:val="24"/>
          <w:szCs w:val="24"/>
          <w:lang w:val="en" w:bidi="ar-SA"/>
        </w:rPr>
      </w:pPr>
      <w:r w:rsidRPr="002A096D">
        <w:rPr>
          <w:rFonts w:eastAsia="Times New Roman"/>
          <w:lang w:val="en" w:bidi="ar-SA"/>
        </w:rPr>
        <w:t>(8) Where a person is employed partly for community purposes and partly for other purposes, any payment or costs in respect of that person is to be apportioned between the two purposes; and the preceding provisions of this section shall apply separately to each part of the payment</w:t>
      </w:r>
      <w:r w:rsidRPr="002A096D">
        <w:rPr>
          <w:rFonts w:eastAsia="Times New Roman"/>
          <w:sz w:val="24"/>
          <w:szCs w:val="24"/>
          <w:lang w:val="en" w:bidi="ar-SA"/>
        </w:rPr>
        <w:t xml:space="preserve"> or costs.</w:t>
      </w:r>
    </w:p>
    <w:p w14:paraId="7026D997" w14:textId="77777777" w:rsidR="002004AF" w:rsidRDefault="002004AF" w:rsidP="002004AF">
      <w:pPr>
        <w:widowControl/>
        <w:autoSpaceDE/>
        <w:autoSpaceDN/>
        <w:spacing w:before="100" w:beforeAutospacing="1" w:afterAutospacing="1"/>
        <w:jc w:val="both"/>
        <w:rPr>
          <w:rFonts w:eastAsia="Times New Roman"/>
          <w:sz w:val="24"/>
          <w:szCs w:val="24"/>
          <w:lang w:val="en" w:bidi="ar-SA"/>
        </w:rPr>
      </w:pPr>
    </w:p>
    <w:p w14:paraId="330FC10F" w14:textId="4C22DA8B" w:rsidR="001908C5" w:rsidRPr="001908C5" w:rsidRDefault="001908C5" w:rsidP="002004AF">
      <w:pPr>
        <w:widowControl/>
        <w:autoSpaceDE/>
        <w:autoSpaceDN/>
        <w:spacing w:before="100" w:beforeAutospacing="1" w:afterAutospacing="1"/>
        <w:jc w:val="right"/>
        <w:rPr>
          <w:sz w:val="36"/>
        </w:rPr>
      </w:pPr>
      <w:r>
        <w:rPr>
          <w:b/>
          <w:sz w:val="36"/>
        </w:rPr>
        <w:lastRenderedPageBreak/>
        <w:t>APPENDIX 4</w:t>
      </w:r>
    </w:p>
    <w:p w14:paraId="52BFCFA5" w14:textId="4AAE20A1" w:rsidR="006D724E" w:rsidRDefault="009F37FD" w:rsidP="00130247">
      <w:pPr>
        <w:spacing w:line="322" w:lineRule="exact"/>
        <w:rPr>
          <w:b/>
          <w:sz w:val="28"/>
        </w:rPr>
      </w:pPr>
      <w:r>
        <w:rPr>
          <w:b/>
          <w:sz w:val="28"/>
        </w:rPr>
        <w:t>Capital / Revenue Split</w:t>
      </w:r>
    </w:p>
    <w:p w14:paraId="52BFCFA6" w14:textId="77777777" w:rsidR="006D724E" w:rsidRPr="00A65AF3" w:rsidRDefault="006D724E" w:rsidP="006D724E">
      <w:pPr>
        <w:pStyle w:val="BodyText"/>
      </w:pPr>
    </w:p>
    <w:p w14:paraId="52BFCFA7" w14:textId="7F905DE6" w:rsidR="006D724E" w:rsidRPr="00A65AF3" w:rsidRDefault="009F37FD" w:rsidP="007201E9">
      <w:pPr>
        <w:pStyle w:val="ListParagraph"/>
        <w:numPr>
          <w:ilvl w:val="0"/>
          <w:numId w:val="1"/>
        </w:numPr>
        <w:tabs>
          <w:tab w:val="left" w:pos="851"/>
        </w:tabs>
        <w:ind w:left="851" w:right="3" w:hanging="851"/>
        <w:jc w:val="both"/>
      </w:pPr>
      <w:r w:rsidRPr="00A65AF3">
        <w:t xml:space="preserve">Local Authority capital/revenue split and items which are the separate responsibility of governors in </w:t>
      </w:r>
      <w:r w:rsidR="007201E9" w:rsidRPr="00A65AF3">
        <w:t>VA</w:t>
      </w:r>
      <w:r w:rsidR="007201E9">
        <w:t xml:space="preserve"> </w:t>
      </w:r>
      <w:r w:rsidR="007201E9" w:rsidRPr="00A65AF3">
        <w:rPr>
          <w:spacing w:val="-18"/>
        </w:rPr>
        <w:t>schools</w:t>
      </w:r>
      <w:r w:rsidRPr="00A65AF3">
        <w:t>.</w:t>
      </w:r>
    </w:p>
    <w:p w14:paraId="52BFCFA8" w14:textId="77777777" w:rsidR="006D724E" w:rsidRPr="00A65AF3" w:rsidRDefault="006D724E" w:rsidP="00B158BB">
      <w:pPr>
        <w:pStyle w:val="BodyText"/>
        <w:spacing w:before="10"/>
        <w:jc w:val="both"/>
      </w:pPr>
    </w:p>
    <w:p w14:paraId="52BFCFA9" w14:textId="77777777" w:rsidR="006D724E" w:rsidRPr="00A65AF3" w:rsidRDefault="009F37FD" w:rsidP="007201E9">
      <w:pPr>
        <w:pStyle w:val="ListParagraph"/>
        <w:numPr>
          <w:ilvl w:val="0"/>
          <w:numId w:val="1"/>
        </w:numPr>
        <w:tabs>
          <w:tab w:val="left" w:pos="851"/>
        </w:tabs>
        <w:ind w:left="851" w:right="3" w:hanging="851"/>
        <w:jc w:val="both"/>
      </w:pPr>
      <w:r w:rsidRPr="00A65AF3">
        <w:t>Illustrative examples in line with DfES interpretation of the CIPFA code of</w:t>
      </w:r>
      <w:r w:rsidRPr="00A65AF3">
        <w:rPr>
          <w:spacing w:val="-1"/>
        </w:rPr>
        <w:t xml:space="preserve"> </w:t>
      </w:r>
      <w:r w:rsidRPr="00A65AF3">
        <w:t>practice.</w:t>
      </w:r>
    </w:p>
    <w:p w14:paraId="52BFCFAA" w14:textId="77777777" w:rsidR="006D724E" w:rsidRPr="00A65AF3" w:rsidRDefault="006D724E" w:rsidP="00B158BB">
      <w:pPr>
        <w:pStyle w:val="BodyText"/>
        <w:spacing w:before="10"/>
        <w:jc w:val="both"/>
      </w:pPr>
    </w:p>
    <w:p w14:paraId="52BFCFAB" w14:textId="77777777" w:rsidR="006D724E" w:rsidRPr="00A65AF3" w:rsidRDefault="009F37FD" w:rsidP="007201E9">
      <w:pPr>
        <w:pStyle w:val="ListParagraph"/>
        <w:numPr>
          <w:ilvl w:val="0"/>
          <w:numId w:val="1"/>
        </w:numPr>
        <w:tabs>
          <w:tab w:val="left" w:pos="851"/>
        </w:tabs>
        <w:ind w:left="851" w:right="3" w:hanging="851"/>
        <w:jc w:val="both"/>
      </w:pPr>
      <w:r w:rsidRPr="00A65AF3">
        <w:t>NB Actual interpretation of CIPFA code of practice for these purposes will be for each local</w:t>
      </w:r>
      <w:r w:rsidRPr="00A65AF3">
        <w:rPr>
          <w:spacing w:val="-5"/>
        </w:rPr>
        <w:t xml:space="preserve"> </w:t>
      </w:r>
      <w:r w:rsidRPr="00A65AF3">
        <w:t>authority.</w:t>
      </w:r>
    </w:p>
    <w:p w14:paraId="52BFCFAC" w14:textId="77777777" w:rsidR="006D724E" w:rsidRPr="00480689" w:rsidRDefault="006D724E" w:rsidP="006D724E">
      <w:pPr>
        <w:pStyle w:val="BodyText"/>
        <w:spacing w:before="5"/>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CFB0" w14:textId="77777777" w:rsidTr="006D724E">
        <w:trPr>
          <w:trHeight w:val="885"/>
        </w:trPr>
        <w:tc>
          <w:tcPr>
            <w:tcW w:w="2151" w:type="dxa"/>
          </w:tcPr>
          <w:p w14:paraId="52BFCFAD" w14:textId="77777777" w:rsidR="006D724E" w:rsidRPr="00A65AF3" w:rsidRDefault="009F37FD">
            <w:pPr>
              <w:pStyle w:val="TableParagraph"/>
              <w:spacing w:line="321" w:lineRule="exact"/>
              <w:rPr>
                <w:b/>
              </w:rPr>
            </w:pPr>
            <w:r w:rsidRPr="00A65AF3">
              <w:rPr>
                <w:b/>
              </w:rPr>
              <w:t>Element</w:t>
            </w:r>
          </w:p>
        </w:tc>
        <w:tc>
          <w:tcPr>
            <w:tcW w:w="3764" w:type="dxa"/>
          </w:tcPr>
          <w:p w14:paraId="52BFCFAE" w14:textId="77777777" w:rsidR="006D724E" w:rsidRPr="00A65AF3" w:rsidRDefault="009F37FD">
            <w:pPr>
              <w:pStyle w:val="TableParagraph"/>
              <w:ind w:right="173"/>
              <w:rPr>
                <w:b/>
              </w:rPr>
            </w:pPr>
            <w:r w:rsidRPr="00A65AF3">
              <w:rPr>
                <w:b/>
              </w:rPr>
              <w:t>Capital: as CIPFA Code of Practice</w:t>
            </w:r>
          </w:p>
        </w:tc>
        <w:tc>
          <w:tcPr>
            <w:tcW w:w="3944" w:type="dxa"/>
          </w:tcPr>
          <w:p w14:paraId="52BFCFAF" w14:textId="2E22D8D3" w:rsidR="006D724E" w:rsidRPr="00A65AF3" w:rsidRDefault="007201E9" w:rsidP="007201E9">
            <w:pPr>
              <w:pStyle w:val="TableParagraph"/>
              <w:ind w:right="959"/>
              <w:rPr>
                <w:b/>
              </w:rPr>
            </w:pPr>
            <w:r>
              <w:rPr>
                <w:b/>
              </w:rPr>
              <w:t>Revenue: R</w:t>
            </w:r>
            <w:r w:rsidR="009F37FD" w:rsidRPr="00A65AF3">
              <w:rPr>
                <w:b/>
              </w:rPr>
              <w:t xml:space="preserve">epairs and </w:t>
            </w:r>
            <w:r>
              <w:rPr>
                <w:b/>
              </w:rPr>
              <w:t>M</w:t>
            </w:r>
            <w:r w:rsidR="009F37FD" w:rsidRPr="00A65AF3">
              <w:rPr>
                <w:b/>
              </w:rPr>
              <w:t>aintenance</w:t>
            </w:r>
          </w:p>
        </w:tc>
      </w:tr>
      <w:tr w:rsidR="000A73BC" w14:paraId="52BFCFB4" w14:textId="77777777" w:rsidTr="006D724E">
        <w:trPr>
          <w:trHeight w:val="515"/>
        </w:trPr>
        <w:tc>
          <w:tcPr>
            <w:tcW w:w="2151" w:type="dxa"/>
            <w:shd w:val="clear" w:color="auto" w:fill="D9D9D9" w:themeFill="background1" w:themeFillShade="D9"/>
          </w:tcPr>
          <w:p w14:paraId="52BFCFB1" w14:textId="77777777" w:rsidR="006D724E" w:rsidRPr="00A65AF3" w:rsidRDefault="009F37FD">
            <w:pPr>
              <w:pStyle w:val="TableParagraph"/>
              <w:spacing w:line="271" w:lineRule="exact"/>
              <w:rPr>
                <w:b/>
              </w:rPr>
            </w:pPr>
            <w:r w:rsidRPr="00A65AF3">
              <w:rPr>
                <w:b/>
              </w:rPr>
              <w:t>Roofs</w:t>
            </w:r>
          </w:p>
        </w:tc>
        <w:tc>
          <w:tcPr>
            <w:tcW w:w="3764" w:type="dxa"/>
            <w:shd w:val="clear" w:color="auto" w:fill="D9D9D9" w:themeFill="background1" w:themeFillShade="D9"/>
          </w:tcPr>
          <w:p w14:paraId="52BFCFB2" w14:textId="77777777" w:rsidR="006D724E" w:rsidRPr="00A65AF3" w:rsidRDefault="006D724E">
            <w:pPr>
              <w:pStyle w:val="TableParagraph"/>
              <w:ind w:left="0"/>
            </w:pPr>
          </w:p>
        </w:tc>
        <w:tc>
          <w:tcPr>
            <w:tcW w:w="3944" w:type="dxa"/>
            <w:shd w:val="clear" w:color="auto" w:fill="D9D9D9" w:themeFill="background1" w:themeFillShade="D9"/>
          </w:tcPr>
          <w:p w14:paraId="52BFCFB3" w14:textId="77777777" w:rsidR="006D724E" w:rsidRPr="00A65AF3" w:rsidRDefault="006D724E">
            <w:pPr>
              <w:pStyle w:val="TableParagraph"/>
              <w:ind w:left="0"/>
            </w:pPr>
          </w:p>
        </w:tc>
      </w:tr>
      <w:tr w:rsidR="000A73BC" w14:paraId="52BFCFB8" w14:textId="77777777" w:rsidTr="006D724E">
        <w:trPr>
          <w:trHeight w:val="671"/>
        </w:trPr>
        <w:tc>
          <w:tcPr>
            <w:tcW w:w="2151" w:type="dxa"/>
          </w:tcPr>
          <w:p w14:paraId="52BFCFB5" w14:textId="77777777" w:rsidR="006D724E" w:rsidRPr="00A65AF3" w:rsidRDefault="009F37FD">
            <w:pPr>
              <w:pStyle w:val="TableParagraph"/>
              <w:spacing w:line="271" w:lineRule="exact"/>
            </w:pPr>
            <w:r w:rsidRPr="00A65AF3">
              <w:t>Flat</w:t>
            </w:r>
          </w:p>
        </w:tc>
        <w:tc>
          <w:tcPr>
            <w:tcW w:w="3764" w:type="dxa"/>
          </w:tcPr>
          <w:p w14:paraId="52BFCFB6" w14:textId="77777777" w:rsidR="006D724E" w:rsidRPr="00A65AF3" w:rsidRDefault="009F37FD">
            <w:pPr>
              <w:pStyle w:val="TableParagraph"/>
              <w:ind w:right="1159"/>
            </w:pPr>
            <w:r w:rsidRPr="00A65AF3">
              <w:t>Structure. New (not replacement) structure.</w:t>
            </w:r>
          </w:p>
        </w:tc>
        <w:tc>
          <w:tcPr>
            <w:tcW w:w="3944" w:type="dxa"/>
          </w:tcPr>
          <w:p w14:paraId="52BFCFB7" w14:textId="77777777" w:rsidR="006D724E" w:rsidRPr="00A65AF3" w:rsidRDefault="009F37FD">
            <w:pPr>
              <w:pStyle w:val="TableParagraph"/>
              <w:ind w:right="218"/>
            </w:pPr>
            <w:r w:rsidRPr="00A65AF3">
              <w:t>Repair/replacement of small parts of an existing structure.</w:t>
            </w:r>
          </w:p>
        </w:tc>
      </w:tr>
      <w:tr w:rsidR="000A73BC" w14:paraId="52BFCFBC" w14:textId="77777777" w:rsidTr="006D724E">
        <w:trPr>
          <w:trHeight w:val="1500"/>
        </w:trPr>
        <w:tc>
          <w:tcPr>
            <w:tcW w:w="2151" w:type="dxa"/>
          </w:tcPr>
          <w:p w14:paraId="52BFCFB9" w14:textId="77777777" w:rsidR="006D724E" w:rsidRPr="00A65AF3" w:rsidRDefault="006D724E">
            <w:pPr>
              <w:pStyle w:val="TableParagraph"/>
              <w:ind w:left="0"/>
            </w:pPr>
          </w:p>
        </w:tc>
        <w:tc>
          <w:tcPr>
            <w:tcW w:w="3764" w:type="dxa"/>
          </w:tcPr>
          <w:p w14:paraId="52BFCFBA" w14:textId="77777777" w:rsidR="006D724E" w:rsidRPr="00A65AF3" w:rsidRDefault="009F37FD">
            <w:pPr>
              <w:pStyle w:val="TableParagraph"/>
              <w:ind w:right="132"/>
            </w:pPr>
            <w:r w:rsidRPr="00A65AF3">
              <w:t>Structure. Replacement of all or substantial part of an existing structure to prevent imminent or correct actual major failure of the structure.</w:t>
            </w:r>
          </w:p>
        </w:tc>
        <w:tc>
          <w:tcPr>
            <w:tcW w:w="3944" w:type="dxa"/>
          </w:tcPr>
          <w:p w14:paraId="52BFCFBB" w14:textId="77777777" w:rsidR="006D724E" w:rsidRPr="00A65AF3" w:rsidRDefault="009F37FD">
            <w:pPr>
              <w:pStyle w:val="TableParagraph"/>
              <w:ind w:right="125"/>
            </w:pPr>
            <w:r w:rsidRPr="00A65AF3">
              <w:t>Replace small areas of rotten or defective timber, make good minor areas of spalling concrete where reinforcing bars exposed.</w:t>
            </w:r>
          </w:p>
        </w:tc>
      </w:tr>
      <w:tr w:rsidR="000A73BC" w14:paraId="52BFCFC0" w14:textId="77777777" w:rsidTr="006D724E">
        <w:trPr>
          <w:trHeight w:val="671"/>
        </w:trPr>
        <w:tc>
          <w:tcPr>
            <w:tcW w:w="2151" w:type="dxa"/>
          </w:tcPr>
          <w:p w14:paraId="52BFCFBD" w14:textId="77777777" w:rsidR="006D724E" w:rsidRPr="00A65AF3" w:rsidRDefault="006D724E">
            <w:pPr>
              <w:pStyle w:val="TableParagraph"/>
              <w:ind w:left="0"/>
            </w:pPr>
          </w:p>
        </w:tc>
        <w:tc>
          <w:tcPr>
            <w:tcW w:w="3764" w:type="dxa"/>
          </w:tcPr>
          <w:p w14:paraId="52BFCFBE" w14:textId="77777777" w:rsidR="006D724E" w:rsidRPr="00A65AF3" w:rsidRDefault="009F37FD">
            <w:pPr>
              <w:pStyle w:val="TableParagraph"/>
              <w:ind w:right="825"/>
            </w:pPr>
            <w:r w:rsidRPr="00A65AF3">
              <w:t>Screed/insulation in a new building/extension.</w:t>
            </w:r>
          </w:p>
        </w:tc>
        <w:tc>
          <w:tcPr>
            <w:tcW w:w="3944" w:type="dxa"/>
          </w:tcPr>
          <w:p w14:paraId="52BFCFBF" w14:textId="77777777" w:rsidR="006D724E" w:rsidRPr="00A65AF3" w:rsidRDefault="009F37FD">
            <w:pPr>
              <w:pStyle w:val="TableParagraph"/>
              <w:ind w:right="191"/>
            </w:pPr>
            <w:r w:rsidRPr="00A65AF3">
              <w:t xml:space="preserve">Repair/replacement of screed/insulation </w:t>
            </w:r>
            <w:proofErr w:type="gramStart"/>
            <w:r w:rsidRPr="00A65AF3">
              <w:t>where</w:t>
            </w:r>
            <w:proofErr w:type="gramEnd"/>
            <w:r w:rsidRPr="00A65AF3">
              <w:t xml:space="preserve"> defective.</w:t>
            </w:r>
          </w:p>
        </w:tc>
      </w:tr>
      <w:tr w:rsidR="000A73BC" w14:paraId="52BFCFC4" w14:textId="77777777" w:rsidTr="006D724E">
        <w:trPr>
          <w:trHeight w:val="1225"/>
        </w:trPr>
        <w:tc>
          <w:tcPr>
            <w:tcW w:w="2151" w:type="dxa"/>
          </w:tcPr>
          <w:p w14:paraId="52BFCFC1" w14:textId="77777777" w:rsidR="006D724E" w:rsidRPr="00A65AF3" w:rsidRDefault="006D724E">
            <w:pPr>
              <w:pStyle w:val="TableParagraph"/>
              <w:ind w:left="0"/>
            </w:pPr>
          </w:p>
        </w:tc>
        <w:tc>
          <w:tcPr>
            <w:tcW w:w="3764" w:type="dxa"/>
          </w:tcPr>
          <w:p w14:paraId="52BFCFC2" w14:textId="77777777" w:rsidR="006D724E" w:rsidRPr="00A65AF3" w:rsidRDefault="009F37FD">
            <w:pPr>
              <w:pStyle w:val="TableParagraph"/>
              <w:ind w:right="812"/>
            </w:pPr>
            <w:r w:rsidRPr="00A65AF3">
              <w:t>Screed/insulation. Replacement/repair of substantially all. Improve effectiveness of insulation.</w:t>
            </w:r>
          </w:p>
        </w:tc>
        <w:tc>
          <w:tcPr>
            <w:tcW w:w="3944" w:type="dxa"/>
          </w:tcPr>
          <w:p w14:paraId="52BFCFC3" w14:textId="77777777" w:rsidR="006D724E" w:rsidRPr="00A65AF3" w:rsidRDefault="009F37FD">
            <w:pPr>
              <w:pStyle w:val="TableParagraph"/>
              <w:ind w:right="232"/>
            </w:pPr>
            <w:r w:rsidRPr="00A65AF3">
              <w:t>Work to improve insulation standards, during work to repair/replace small areas of roof.</w:t>
            </w:r>
          </w:p>
        </w:tc>
      </w:tr>
      <w:tr w:rsidR="000A73BC" w14:paraId="52BFCFC8" w14:textId="77777777" w:rsidTr="006D724E">
        <w:trPr>
          <w:trHeight w:val="1224"/>
        </w:trPr>
        <w:tc>
          <w:tcPr>
            <w:tcW w:w="2151" w:type="dxa"/>
          </w:tcPr>
          <w:p w14:paraId="52BFCFC5" w14:textId="77777777" w:rsidR="006D724E" w:rsidRPr="00A65AF3" w:rsidRDefault="006D724E">
            <w:pPr>
              <w:pStyle w:val="TableParagraph"/>
              <w:ind w:left="0"/>
            </w:pPr>
          </w:p>
        </w:tc>
        <w:tc>
          <w:tcPr>
            <w:tcW w:w="3764" w:type="dxa"/>
          </w:tcPr>
          <w:p w14:paraId="52BFCFC6" w14:textId="77777777" w:rsidR="006D724E" w:rsidRPr="00A65AF3" w:rsidRDefault="009F37FD">
            <w:pPr>
              <w:pStyle w:val="TableParagraph"/>
              <w:ind w:right="251"/>
            </w:pPr>
            <w:r w:rsidRPr="00A65AF3">
              <w:t>Finish on new build. Replacement of all/substantially all on existing roof.</w:t>
            </w:r>
          </w:p>
        </w:tc>
        <w:tc>
          <w:tcPr>
            <w:tcW w:w="3944" w:type="dxa"/>
          </w:tcPr>
          <w:p w14:paraId="52BFCFC7" w14:textId="77777777" w:rsidR="006D724E" w:rsidRPr="00A65AF3" w:rsidRDefault="009F37FD">
            <w:pPr>
              <w:pStyle w:val="TableParagraph"/>
              <w:ind w:right="685"/>
            </w:pPr>
            <w:r w:rsidRPr="00A65AF3">
              <w:t>Replacement of roof finish on existing building. Re-coating chippings to improve life expectancy.</w:t>
            </w:r>
          </w:p>
        </w:tc>
      </w:tr>
      <w:tr w:rsidR="000A73BC" w14:paraId="52BFCFCC" w14:textId="77777777" w:rsidTr="006D724E">
        <w:trPr>
          <w:trHeight w:val="671"/>
        </w:trPr>
        <w:tc>
          <w:tcPr>
            <w:tcW w:w="2151" w:type="dxa"/>
          </w:tcPr>
          <w:p w14:paraId="52BFCFC9" w14:textId="77777777" w:rsidR="006D724E" w:rsidRPr="00A65AF3" w:rsidRDefault="006D724E">
            <w:pPr>
              <w:pStyle w:val="TableParagraph"/>
              <w:ind w:left="0"/>
            </w:pPr>
          </w:p>
        </w:tc>
        <w:tc>
          <w:tcPr>
            <w:tcW w:w="3764" w:type="dxa"/>
          </w:tcPr>
          <w:p w14:paraId="52BFCFCA" w14:textId="77777777" w:rsidR="006D724E" w:rsidRPr="00A65AF3" w:rsidRDefault="009F37FD">
            <w:pPr>
              <w:pStyle w:val="TableParagraph"/>
              <w:spacing w:line="271" w:lineRule="exact"/>
            </w:pPr>
            <w:r w:rsidRPr="00A65AF3">
              <w:t>Edge Trim/Fascia on new build.</w:t>
            </w:r>
          </w:p>
        </w:tc>
        <w:tc>
          <w:tcPr>
            <w:tcW w:w="3944" w:type="dxa"/>
          </w:tcPr>
          <w:p w14:paraId="52BFCFCB" w14:textId="77777777" w:rsidR="006D724E" w:rsidRPr="00A65AF3" w:rsidRDefault="009F37FD">
            <w:pPr>
              <w:pStyle w:val="TableParagraph"/>
              <w:ind w:right="672"/>
            </w:pPr>
            <w:r w:rsidRPr="00A65AF3">
              <w:t>Repairs/replacement (uPVC). Repainting.</w:t>
            </w:r>
          </w:p>
        </w:tc>
      </w:tr>
      <w:tr w:rsidR="000A73BC" w14:paraId="52BFCFD0" w14:textId="77777777" w:rsidTr="006D724E">
        <w:trPr>
          <w:trHeight w:val="947"/>
        </w:trPr>
        <w:tc>
          <w:tcPr>
            <w:tcW w:w="2151" w:type="dxa"/>
          </w:tcPr>
          <w:p w14:paraId="52BFCFCD" w14:textId="77777777" w:rsidR="006D724E" w:rsidRPr="00A65AF3" w:rsidRDefault="006D724E">
            <w:pPr>
              <w:pStyle w:val="TableParagraph"/>
              <w:ind w:left="0"/>
            </w:pPr>
          </w:p>
        </w:tc>
        <w:tc>
          <w:tcPr>
            <w:tcW w:w="3764" w:type="dxa"/>
          </w:tcPr>
          <w:p w14:paraId="52BFCFCE" w14:textId="77777777" w:rsidR="006D724E" w:rsidRPr="00A65AF3" w:rsidRDefault="009F37FD">
            <w:pPr>
              <w:pStyle w:val="TableParagraph"/>
              <w:ind w:right="150"/>
              <w:jc w:val="both"/>
            </w:pPr>
            <w:r w:rsidRPr="00A65AF3">
              <w:t>Edge Trim/Fascia. Replacement of all/ substantially all on existing roof.</w:t>
            </w:r>
          </w:p>
        </w:tc>
        <w:tc>
          <w:tcPr>
            <w:tcW w:w="3944" w:type="dxa"/>
          </w:tcPr>
          <w:p w14:paraId="52BFCFCF" w14:textId="77777777" w:rsidR="006D724E" w:rsidRPr="00A65AF3" w:rsidRDefault="009F37FD">
            <w:pPr>
              <w:pStyle w:val="TableParagraph"/>
              <w:spacing w:line="343" w:lineRule="auto"/>
              <w:ind w:right="1525"/>
            </w:pPr>
            <w:r w:rsidRPr="00A65AF3">
              <w:t>Repairs/replacement. (uPVC) Repainting.</w:t>
            </w:r>
          </w:p>
        </w:tc>
      </w:tr>
      <w:tr w:rsidR="000A73BC" w14:paraId="52BFCFD5" w14:textId="77777777" w:rsidTr="006D724E">
        <w:trPr>
          <w:trHeight w:val="1344"/>
        </w:trPr>
        <w:tc>
          <w:tcPr>
            <w:tcW w:w="2151" w:type="dxa"/>
          </w:tcPr>
          <w:p w14:paraId="52BFCFD1" w14:textId="77777777" w:rsidR="006D724E" w:rsidRPr="00A65AF3" w:rsidRDefault="006D724E">
            <w:pPr>
              <w:pStyle w:val="TableParagraph"/>
              <w:ind w:left="0"/>
            </w:pPr>
          </w:p>
        </w:tc>
        <w:tc>
          <w:tcPr>
            <w:tcW w:w="3764" w:type="dxa"/>
          </w:tcPr>
          <w:p w14:paraId="52BFCFD2" w14:textId="77777777" w:rsidR="006D724E" w:rsidRPr="00A65AF3" w:rsidRDefault="009F37FD">
            <w:pPr>
              <w:pStyle w:val="TableParagraph"/>
              <w:spacing w:line="271" w:lineRule="exact"/>
            </w:pPr>
            <w:r w:rsidRPr="00A65AF3">
              <w:t>Drainage on new build</w:t>
            </w:r>
          </w:p>
        </w:tc>
        <w:tc>
          <w:tcPr>
            <w:tcW w:w="3944" w:type="dxa"/>
          </w:tcPr>
          <w:p w14:paraId="52BFCFD3" w14:textId="77777777" w:rsidR="006D724E" w:rsidRPr="00A65AF3" w:rsidRDefault="009F37FD">
            <w:pPr>
              <w:pStyle w:val="TableParagraph"/>
              <w:ind w:right="1245"/>
            </w:pPr>
            <w:r w:rsidRPr="00A65AF3">
              <w:t>Clearing out gutters and downpipes.</w:t>
            </w:r>
          </w:p>
          <w:p w14:paraId="52BFCFD4" w14:textId="77777777" w:rsidR="006D724E" w:rsidRPr="00A65AF3" w:rsidRDefault="009F37FD">
            <w:pPr>
              <w:pStyle w:val="TableParagraph"/>
              <w:spacing w:before="115"/>
              <w:ind w:right="591"/>
            </w:pPr>
            <w:r w:rsidRPr="00A65AF3">
              <w:t>Replacement/repair/repainting of/individual gutters/pipes.</w:t>
            </w:r>
          </w:p>
        </w:tc>
      </w:tr>
      <w:tr w:rsidR="000A73BC" w14:paraId="52BFCFD9" w14:textId="77777777" w:rsidTr="006D724E">
        <w:trPr>
          <w:trHeight w:val="1223"/>
        </w:trPr>
        <w:tc>
          <w:tcPr>
            <w:tcW w:w="2151" w:type="dxa"/>
          </w:tcPr>
          <w:p w14:paraId="52BFCFD6" w14:textId="77777777" w:rsidR="006D724E" w:rsidRPr="00A65AF3" w:rsidRDefault="006D724E">
            <w:pPr>
              <w:pStyle w:val="TableParagraph"/>
              <w:ind w:left="0"/>
            </w:pPr>
          </w:p>
        </w:tc>
        <w:tc>
          <w:tcPr>
            <w:tcW w:w="3764" w:type="dxa"/>
          </w:tcPr>
          <w:p w14:paraId="52BFCFD7" w14:textId="77777777" w:rsidR="006D724E" w:rsidRPr="00A65AF3" w:rsidRDefault="009F37FD">
            <w:pPr>
              <w:pStyle w:val="TableParagraph"/>
              <w:ind w:right="211"/>
            </w:pPr>
            <w:r w:rsidRPr="00A65AF3">
              <w:t>Other e.g. Flashings. Rooflights on new build. Replacement of all/ substantially all on existing roof.</w:t>
            </w:r>
          </w:p>
        </w:tc>
        <w:tc>
          <w:tcPr>
            <w:tcW w:w="3944" w:type="dxa"/>
          </w:tcPr>
          <w:p w14:paraId="52BFCFD8" w14:textId="77777777" w:rsidR="006D724E" w:rsidRPr="00A65AF3" w:rsidRDefault="009F37FD">
            <w:pPr>
              <w:pStyle w:val="TableParagraph"/>
              <w:ind w:right="485"/>
            </w:pPr>
            <w:r w:rsidRPr="00A65AF3">
              <w:t>Repair/replacement/cleaning of individual items.</w:t>
            </w:r>
          </w:p>
        </w:tc>
      </w:tr>
    </w:tbl>
    <w:p w14:paraId="52BFCFDA" w14:textId="77777777" w:rsidR="006D724E" w:rsidRPr="00A65AF3" w:rsidRDefault="006D724E" w:rsidP="006D724E">
      <w:pPr>
        <w:jc w:val="center"/>
        <w:sectPr w:rsidR="006D724E" w:rsidRPr="00A65AF3" w:rsidSect="003B50EE">
          <w:type w:val="continuous"/>
          <w:pgSz w:w="11910" w:h="16840"/>
          <w:pgMar w:top="1134" w:right="1134" w:bottom="1134" w:left="1134" w:header="720" w:footer="720" w:gutter="0"/>
          <w:cols w:space="720"/>
          <w:docGrid w:linePitch="299"/>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CFDE" w14:textId="77777777" w:rsidTr="006D724E">
        <w:trPr>
          <w:trHeight w:val="885"/>
        </w:trPr>
        <w:tc>
          <w:tcPr>
            <w:tcW w:w="2151" w:type="dxa"/>
          </w:tcPr>
          <w:p w14:paraId="52BFCFDB" w14:textId="77777777" w:rsidR="006D724E" w:rsidRPr="00A65AF3" w:rsidRDefault="009F37FD">
            <w:pPr>
              <w:pStyle w:val="TableParagraph"/>
              <w:spacing w:line="314" w:lineRule="exact"/>
              <w:rPr>
                <w:b/>
              </w:rPr>
            </w:pPr>
            <w:r w:rsidRPr="00A65AF3">
              <w:rPr>
                <w:b/>
              </w:rPr>
              <w:lastRenderedPageBreak/>
              <w:t>Element</w:t>
            </w:r>
          </w:p>
        </w:tc>
        <w:tc>
          <w:tcPr>
            <w:tcW w:w="3764" w:type="dxa"/>
          </w:tcPr>
          <w:p w14:paraId="52BFCFDC" w14:textId="77777777" w:rsidR="006D724E" w:rsidRPr="00A65AF3" w:rsidRDefault="009F37FD">
            <w:pPr>
              <w:pStyle w:val="TableParagraph"/>
              <w:ind w:right="173"/>
              <w:rPr>
                <w:b/>
              </w:rPr>
            </w:pPr>
            <w:r w:rsidRPr="00A65AF3">
              <w:rPr>
                <w:b/>
              </w:rPr>
              <w:t>Capital: as CIPFA Code of Practice</w:t>
            </w:r>
          </w:p>
        </w:tc>
        <w:tc>
          <w:tcPr>
            <w:tcW w:w="3944" w:type="dxa"/>
          </w:tcPr>
          <w:p w14:paraId="52BFCFDD" w14:textId="77777777" w:rsidR="006D724E" w:rsidRPr="00A65AF3" w:rsidRDefault="009F37FD">
            <w:pPr>
              <w:pStyle w:val="TableParagraph"/>
              <w:ind w:right="959"/>
              <w:rPr>
                <w:b/>
              </w:rPr>
            </w:pPr>
            <w:r w:rsidRPr="00A65AF3">
              <w:rPr>
                <w:b/>
              </w:rPr>
              <w:t>Revenue: repairs and maintenance</w:t>
            </w:r>
          </w:p>
        </w:tc>
      </w:tr>
      <w:tr w:rsidR="000A73BC" w14:paraId="52BFCFE2" w14:textId="77777777" w:rsidTr="006D724E">
        <w:trPr>
          <w:trHeight w:val="671"/>
        </w:trPr>
        <w:tc>
          <w:tcPr>
            <w:tcW w:w="2151" w:type="dxa"/>
          </w:tcPr>
          <w:p w14:paraId="52BFCFDF" w14:textId="77777777" w:rsidR="006D724E" w:rsidRPr="00A65AF3" w:rsidRDefault="009F37FD">
            <w:pPr>
              <w:pStyle w:val="TableParagraph"/>
              <w:spacing w:line="267" w:lineRule="exact"/>
            </w:pPr>
            <w:r w:rsidRPr="00A65AF3">
              <w:t>Pitched</w:t>
            </w:r>
          </w:p>
        </w:tc>
        <w:tc>
          <w:tcPr>
            <w:tcW w:w="3764" w:type="dxa"/>
          </w:tcPr>
          <w:p w14:paraId="52BFCFE0" w14:textId="77777777" w:rsidR="006D724E" w:rsidRPr="00A65AF3" w:rsidRDefault="009F37FD">
            <w:pPr>
              <w:pStyle w:val="TableParagraph"/>
              <w:ind w:right="132"/>
            </w:pPr>
            <w:r w:rsidRPr="00A65AF3">
              <w:t>Structure. New (not replacement structure.</w:t>
            </w:r>
          </w:p>
        </w:tc>
        <w:tc>
          <w:tcPr>
            <w:tcW w:w="3944" w:type="dxa"/>
          </w:tcPr>
          <w:p w14:paraId="52BFCFE1" w14:textId="77777777" w:rsidR="006D724E" w:rsidRPr="00A65AF3" w:rsidRDefault="009F37FD">
            <w:pPr>
              <w:pStyle w:val="TableParagraph"/>
              <w:ind w:right="218"/>
            </w:pPr>
            <w:r w:rsidRPr="00A65AF3">
              <w:t>Repair/replacement of small parts of an existing structure.</w:t>
            </w:r>
          </w:p>
        </w:tc>
      </w:tr>
      <w:tr w:rsidR="000A73BC" w14:paraId="52BFCFE6" w14:textId="77777777" w:rsidTr="006D724E">
        <w:trPr>
          <w:trHeight w:val="1499"/>
        </w:trPr>
        <w:tc>
          <w:tcPr>
            <w:tcW w:w="2151" w:type="dxa"/>
          </w:tcPr>
          <w:p w14:paraId="52BFCFE3" w14:textId="77777777" w:rsidR="006D724E" w:rsidRPr="00A65AF3" w:rsidRDefault="006D724E">
            <w:pPr>
              <w:pStyle w:val="TableParagraph"/>
              <w:ind w:left="0"/>
            </w:pPr>
          </w:p>
        </w:tc>
        <w:tc>
          <w:tcPr>
            <w:tcW w:w="3764" w:type="dxa"/>
          </w:tcPr>
          <w:p w14:paraId="52BFCFE4" w14:textId="77777777" w:rsidR="006D724E" w:rsidRPr="00A65AF3" w:rsidRDefault="009F37FD">
            <w:pPr>
              <w:pStyle w:val="TableParagraph"/>
              <w:ind w:right="132"/>
            </w:pPr>
            <w:r w:rsidRPr="00A65AF3">
              <w:t>Structure. Replacement of all or substantial part of an existing structure to prevent imminent or correct actual major failure of the structure.</w:t>
            </w:r>
          </w:p>
        </w:tc>
        <w:tc>
          <w:tcPr>
            <w:tcW w:w="3944" w:type="dxa"/>
          </w:tcPr>
          <w:p w14:paraId="52BFCFE5" w14:textId="77777777" w:rsidR="006D724E" w:rsidRPr="00A65AF3" w:rsidRDefault="009F37FD">
            <w:pPr>
              <w:pStyle w:val="TableParagraph"/>
              <w:ind w:right="218"/>
            </w:pPr>
            <w:r w:rsidRPr="00A65AF3">
              <w:t>Replace/repair small areas of rotten/defective joists, rafters, purlins etc. Not complete trusses.</w:t>
            </w:r>
          </w:p>
        </w:tc>
      </w:tr>
      <w:tr w:rsidR="000A73BC" w14:paraId="52BFCFEA" w14:textId="77777777" w:rsidTr="006D724E">
        <w:trPr>
          <w:trHeight w:val="948"/>
        </w:trPr>
        <w:tc>
          <w:tcPr>
            <w:tcW w:w="2151" w:type="dxa"/>
          </w:tcPr>
          <w:p w14:paraId="52BFCFE7" w14:textId="77777777" w:rsidR="006D724E" w:rsidRPr="00A65AF3" w:rsidRDefault="006D724E">
            <w:pPr>
              <w:pStyle w:val="TableParagraph"/>
              <w:ind w:left="0"/>
            </w:pPr>
          </w:p>
        </w:tc>
        <w:tc>
          <w:tcPr>
            <w:tcW w:w="3764" w:type="dxa"/>
          </w:tcPr>
          <w:p w14:paraId="52BFCFE8" w14:textId="77777777" w:rsidR="006D724E" w:rsidRPr="00A65AF3" w:rsidRDefault="009F37FD">
            <w:pPr>
              <w:pStyle w:val="TableParagraph"/>
              <w:ind w:right="678"/>
            </w:pPr>
            <w:r w:rsidRPr="00A65AF3">
              <w:t>Insulation in a new building/ extension.</w:t>
            </w:r>
          </w:p>
        </w:tc>
        <w:tc>
          <w:tcPr>
            <w:tcW w:w="3944" w:type="dxa"/>
          </w:tcPr>
          <w:p w14:paraId="52BFCFE9" w14:textId="77777777" w:rsidR="006D724E" w:rsidRPr="00A65AF3" w:rsidRDefault="009F37FD">
            <w:pPr>
              <w:pStyle w:val="TableParagraph"/>
              <w:ind w:right="552"/>
            </w:pPr>
            <w:r w:rsidRPr="00A65AF3">
              <w:t>Repair/replacement/increasing thickness of insulation in an existing roof.</w:t>
            </w:r>
          </w:p>
        </w:tc>
      </w:tr>
      <w:tr w:rsidR="000A73BC" w14:paraId="52BFCFEE" w14:textId="77777777" w:rsidTr="006D724E">
        <w:trPr>
          <w:trHeight w:val="947"/>
        </w:trPr>
        <w:tc>
          <w:tcPr>
            <w:tcW w:w="2151" w:type="dxa"/>
          </w:tcPr>
          <w:p w14:paraId="52BFCFEB" w14:textId="77777777" w:rsidR="006D724E" w:rsidRPr="00A65AF3" w:rsidRDefault="006D724E">
            <w:pPr>
              <w:pStyle w:val="TableParagraph"/>
              <w:ind w:left="0"/>
            </w:pPr>
          </w:p>
        </w:tc>
        <w:tc>
          <w:tcPr>
            <w:tcW w:w="3764" w:type="dxa"/>
          </w:tcPr>
          <w:p w14:paraId="52BFCFEC" w14:textId="77777777" w:rsidR="006D724E" w:rsidRPr="00A65AF3" w:rsidRDefault="009F37FD">
            <w:pPr>
              <w:pStyle w:val="TableParagraph"/>
              <w:ind w:right="173"/>
            </w:pPr>
            <w:r w:rsidRPr="00A65AF3">
              <w:t>Insulation. Replacement/ repair of substantially all. Improve insulation to current standards.</w:t>
            </w:r>
          </w:p>
        </w:tc>
        <w:tc>
          <w:tcPr>
            <w:tcW w:w="3944" w:type="dxa"/>
          </w:tcPr>
          <w:p w14:paraId="52BFCFED" w14:textId="77777777" w:rsidR="006D724E" w:rsidRPr="00A65AF3" w:rsidRDefault="006D724E">
            <w:pPr>
              <w:pStyle w:val="TableParagraph"/>
              <w:ind w:left="0"/>
            </w:pPr>
          </w:p>
        </w:tc>
      </w:tr>
      <w:tr w:rsidR="000A73BC" w14:paraId="52BFCFF2" w14:textId="77777777" w:rsidTr="006D724E">
        <w:trPr>
          <w:trHeight w:val="1223"/>
        </w:trPr>
        <w:tc>
          <w:tcPr>
            <w:tcW w:w="2151" w:type="dxa"/>
          </w:tcPr>
          <w:p w14:paraId="52BFCFEF" w14:textId="77777777" w:rsidR="006D724E" w:rsidRPr="00A65AF3" w:rsidRDefault="006D724E">
            <w:pPr>
              <w:pStyle w:val="TableParagraph"/>
              <w:ind w:left="0"/>
            </w:pPr>
          </w:p>
        </w:tc>
        <w:tc>
          <w:tcPr>
            <w:tcW w:w="3764" w:type="dxa"/>
          </w:tcPr>
          <w:p w14:paraId="52BFCFF0" w14:textId="77777777" w:rsidR="006D724E" w:rsidRPr="00A65AF3" w:rsidRDefault="009F37FD">
            <w:pPr>
              <w:pStyle w:val="TableParagraph"/>
              <w:ind w:right="478"/>
            </w:pPr>
            <w:r w:rsidRPr="00A65AF3">
              <w:t>Roof finish in a new building/ extension, replacement of all/substantially all on existing roof.</w:t>
            </w:r>
          </w:p>
        </w:tc>
        <w:tc>
          <w:tcPr>
            <w:tcW w:w="3944" w:type="dxa"/>
          </w:tcPr>
          <w:p w14:paraId="52BFCFF1" w14:textId="77777777" w:rsidR="006D724E" w:rsidRPr="00A65AF3" w:rsidRDefault="009F37FD">
            <w:pPr>
              <w:pStyle w:val="TableParagraph"/>
              <w:spacing w:line="267" w:lineRule="exact"/>
            </w:pPr>
            <w:r w:rsidRPr="00A65AF3">
              <w:t>Replace missing/damaged.</w:t>
            </w:r>
          </w:p>
        </w:tc>
      </w:tr>
      <w:tr w:rsidR="000A73BC" w14:paraId="52BFCFF6" w14:textId="77777777" w:rsidTr="006D724E">
        <w:trPr>
          <w:trHeight w:val="1224"/>
        </w:trPr>
        <w:tc>
          <w:tcPr>
            <w:tcW w:w="2151" w:type="dxa"/>
          </w:tcPr>
          <w:p w14:paraId="52BFCFF3" w14:textId="77777777" w:rsidR="006D724E" w:rsidRPr="00A65AF3" w:rsidRDefault="006D724E">
            <w:pPr>
              <w:pStyle w:val="TableParagraph"/>
              <w:ind w:left="0"/>
            </w:pPr>
          </w:p>
        </w:tc>
        <w:tc>
          <w:tcPr>
            <w:tcW w:w="3764" w:type="dxa"/>
          </w:tcPr>
          <w:p w14:paraId="52BFCFF4" w14:textId="77777777" w:rsidR="006D724E" w:rsidRPr="00A65AF3" w:rsidRDefault="009F37FD">
            <w:pPr>
              <w:pStyle w:val="TableParagraph"/>
              <w:ind w:right="211"/>
            </w:pPr>
            <w:r w:rsidRPr="00A65AF3">
              <w:t>Bargeboards/Fascias in a new building/extension, replacement of all/substantially all on existing roof.</w:t>
            </w:r>
          </w:p>
        </w:tc>
        <w:tc>
          <w:tcPr>
            <w:tcW w:w="3944" w:type="dxa"/>
          </w:tcPr>
          <w:p w14:paraId="52BFCFF5" w14:textId="77777777" w:rsidR="006D724E" w:rsidRPr="00A65AF3" w:rsidRDefault="009F37FD">
            <w:pPr>
              <w:pStyle w:val="TableParagraph"/>
              <w:spacing w:line="267" w:lineRule="exact"/>
            </w:pPr>
            <w:r w:rsidRPr="00A65AF3">
              <w:t>Repairs/replacement/repainting.</w:t>
            </w:r>
          </w:p>
        </w:tc>
      </w:tr>
      <w:tr w:rsidR="000A73BC" w14:paraId="52BFCFFA" w14:textId="77777777" w:rsidTr="006D724E">
        <w:trPr>
          <w:trHeight w:val="950"/>
        </w:trPr>
        <w:tc>
          <w:tcPr>
            <w:tcW w:w="2151" w:type="dxa"/>
          </w:tcPr>
          <w:p w14:paraId="52BFCFF7" w14:textId="77777777" w:rsidR="006D724E" w:rsidRPr="00A65AF3" w:rsidRDefault="006D724E">
            <w:pPr>
              <w:pStyle w:val="TableParagraph"/>
              <w:ind w:left="0"/>
            </w:pPr>
          </w:p>
        </w:tc>
        <w:tc>
          <w:tcPr>
            <w:tcW w:w="3764" w:type="dxa"/>
          </w:tcPr>
          <w:p w14:paraId="52BFCFF8" w14:textId="77777777" w:rsidR="006D724E" w:rsidRPr="00A65AF3" w:rsidRDefault="009F37FD">
            <w:pPr>
              <w:pStyle w:val="TableParagraph"/>
              <w:ind w:right="731"/>
            </w:pPr>
            <w:r w:rsidRPr="00A65AF3">
              <w:t>Drainage in a new building/ extension.</w:t>
            </w:r>
          </w:p>
        </w:tc>
        <w:tc>
          <w:tcPr>
            <w:tcW w:w="3944" w:type="dxa"/>
          </w:tcPr>
          <w:p w14:paraId="52BFCFF9" w14:textId="77777777" w:rsidR="006D724E" w:rsidRPr="00A65AF3" w:rsidRDefault="009F37FD">
            <w:pPr>
              <w:pStyle w:val="TableParagraph"/>
              <w:ind w:right="218"/>
            </w:pPr>
            <w:r w:rsidRPr="00A65AF3">
              <w:t>Clearing out gutters and downpipes. Replacement/repairs of individual pipes/gutters.</w:t>
            </w:r>
          </w:p>
        </w:tc>
      </w:tr>
      <w:tr w:rsidR="000A73BC" w14:paraId="52BFCFFE" w14:textId="77777777" w:rsidTr="006D724E">
        <w:trPr>
          <w:trHeight w:val="671"/>
        </w:trPr>
        <w:tc>
          <w:tcPr>
            <w:tcW w:w="2151" w:type="dxa"/>
          </w:tcPr>
          <w:p w14:paraId="52BFCFFB" w14:textId="77777777" w:rsidR="006D724E" w:rsidRPr="00A65AF3" w:rsidRDefault="006D724E">
            <w:pPr>
              <w:pStyle w:val="TableParagraph"/>
              <w:ind w:left="0"/>
            </w:pPr>
          </w:p>
        </w:tc>
        <w:tc>
          <w:tcPr>
            <w:tcW w:w="3764" w:type="dxa"/>
          </w:tcPr>
          <w:p w14:paraId="52BFCFFC" w14:textId="77777777" w:rsidR="006D724E" w:rsidRPr="00A65AF3" w:rsidRDefault="009F37FD">
            <w:pPr>
              <w:pStyle w:val="TableParagraph"/>
              <w:ind w:right="238"/>
            </w:pPr>
            <w:r w:rsidRPr="00A65AF3">
              <w:t>Drainage. Replacement of all/ substantially all on existing roof.</w:t>
            </w:r>
          </w:p>
        </w:tc>
        <w:tc>
          <w:tcPr>
            <w:tcW w:w="3944" w:type="dxa"/>
          </w:tcPr>
          <w:p w14:paraId="52BFCFFD" w14:textId="77777777" w:rsidR="006D724E" w:rsidRPr="00A65AF3" w:rsidRDefault="006D724E">
            <w:pPr>
              <w:pStyle w:val="TableParagraph"/>
              <w:ind w:left="0"/>
            </w:pPr>
          </w:p>
        </w:tc>
      </w:tr>
      <w:tr w:rsidR="000A73BC" w14:paraId="52BFD002" w14:textId="77777777" w:rsidTr="006D724E">
        <w:trPr>
          <w:trHeight w:val="1224"/>
        </w:trPr>
        <w:tc>
          <w:tcPr>
            <w:tcW w:w="2151" w:type="dxa"/>
          </w:tcPr>
          <w:p w14:paraId="52BFCFFF" w14:textId="77777777" w:rsidR="006D724E" w:rsidRPr="00A65AF3" w:rsidRDefault="006D724E">
            <w:pPr>
              <w:pStyle w:val="TableParagraph"/>
              <w:ind w:left="0"/>
            </w:pPr>
          </w:p>
        </w:tc>
        <w:tc>
          <w:tcPr>
            <w:tcW w:w="3764" w:type="dxa"/>
          </w:tcPr>
          <w:p w14:paraId="52BFD000" w14:textId="77777777" w:rsidR="006D724E" w:rsidRPr="00A65AF3" w:rsidRDefault="009F37FD">
            <w:pPr>
              <w:pStyle w:val="TableParagraph"/>
              <w:ind w:right="238"/>
            </w:pPr>
            <w:r w:rsidRPr="00A65AF3">
              <w:t>Other e.g. Flashings. Roof windows in a new building/ extension, replacement of all/ substantially all on existing roof.</w:t>
            </w:r>
          </w:p>
        </w:tc>
        <w:tc>
          <w:tcPr>
            <w:tcW w:w="3944" w:type="dxa"/>
          </w:tcPr>
          <w:p w14:paraId="52BFD001" w14:textId="77777777" w:rsidR="006D724E" w:rsidRPr="00A65AF3" w:rsidRDefault="009F37FD">
            <w:pPr>
              <w:pStyle w:val="TableParagraph"/>
              <w:spacing w:line="267" w:lineRule="exact"/>
            </w:pPr>
            <w:r w:rsidRPr="00A65AF3">
              <w:t>Repair/replacement/cleaning.</w:t>
            </w:r>
          </w:p>
        </w:tc>
      </w:tr>
      <w:tr w:rsidR="000A73BC" w14:paraId="52BFD006" w14:textId="77777777" w:rsidTr="006D724E">
        <w:trPr>
          <w:trHeight w:val="671"/>
        </w:trPr>
        <w:tc>
          <w:tcPr>
            <w:tcW w:w="2151" w:type="dxa"/>
          </w:tcPr>
          <w:p w14:paraId="52BFD003" w14:textId="77777777" w:rsidR="006D724E" w:rsidRPr="00A65AF3" w:rsidRDefault="009F37FD">
            <w:pPr>
              <w:pStyle w:val="TableParagraph"/>
              <w:spacing w:line="267" w:lineRule="exact"/>
            </w:pPr>
            <w:r w:rsidRPr="00A65AF3">
              <w:t>Other</w:t>
            </w:r>
          </w:p>
        </w:tc>
        <w:tc>
          <w:tcPr>
            <w:tcW w:w="3764" w:type="dxa"/>
          </w:tcPr>
          <w:p w14:paraId="52BFD004" w14:textId="77777777" w:rsidR="006D724E" w:rsidRPr="00A65AF3" w:rsidRDefault="009F37FD">
            <w:pPr>
              <w:pStyle w:val="TableParagraph"/>
              <w:ind w:right="572"/>
            </w:pPr>
            <w:r w:rsidRPr="00A65AF3">
              <w:t>Provide new covered link etc between existing buildings.</w:t>
            </w:r>
          </w:p>
        </w:tc>
        <w:tc>
          <w:tcPr>
            <w:tcW w:w="3944" w:type="dxa"/>
          </w:tcPr>
          <w:p w14:paraId="52BFD005" w14:textId="77777777" w:rsidR="006D724E" w:rsidRPr="00A65AF3" w:rsidRDefault="009F37FD">
            <w:pPr>
              <w:pStyle w:val="TableParagraph"/>
              <w:ind w:right="632"/>
            </w:pPr>
            <w:r w:rsidRPr="00A65AF3">
              <w:t>Minor repairs, maintenance to existing covered link.</w:t>
            </w:r>
          </w:p>
        </w:tc>
      </w:tr>
      <w:tr w:rsidR="000A73BC" w14:paraId="52BFD00A" w14:textId="77777777" w:rsidTr="006D724E">
        <w:trPr>
          <w:trHeight w:val="1223"/>
        </w:trPr>
        <w:tc>
          <w:tcPr>
            <w:tcW w:w="2151" w:type="dxa"/>
          </w:tcPr>
          <w:p w14:paraId="52BFD007" w14:textId="77777777" w:rsidR="006D724E" w:rsidRPr="00A65AF3" w:rsidRDefault="006D724E">
            <w:pPr>
              <w:pStyle w:val="TableParagraph"/>
              <w:ind w:left="0"/>
            </w:pPr>
          </w:p>
        </w:tc>
        <w:tc>
          <w:tcPr>
            <w:tcW w:w="3764" w:type="dxa"/>
          </w:tcPr>
          <w:p w14:paraId="52BFD008" w14:textId="77777777" w:rsidR="006D724E" w:rsidRPr="00A65AF3" w:rsidRDefault="009F37FD">
            <w:pPr>
              <w:pStyle w:val="TableParagraph"/>
              <w:ind w:right="132"/>
            </w:pPr>
            <w:r w:rsidRPr="00A65AF3">
              <w:t>Rebuild or substantially repair structure of existing covered link. Add porch etc to existing building.</w:t>
            </w:r>
          </w:p>
        </w:tc>
        <w:tc>
          <w:tcPr>
            <w:tcW w:w="3944" w:type="dxa"/>
          </w:tcPr>
          <w:p w14:paraId="52BFD009" w14:textId="77777777" w:rsidR="006D724E" w:rsidRPr="00A65AF3" w:rsidRDefault="009F37FD">
            <w:pPr>
              <w:pStyle w:val="TableParagraph"/>
              <w:ind w:right="632"/>
            </w:pPr>
            <w:r w:rsidRPr="00A65AF3">
              <w:t>Minor repairs, maintenance to existing.</w:t>
            </w:r>
          </w:p>
        </w:tc>
      </w:tr>
      <w:tr w:rsidR="000A73BC" w14:paraId="52BFD00E" w14:textId="77777777" w:rsidTr="006D724E">
        <w:trPr>
          <w:trHeight w:val="671"/>
        </w:trPr>
        <w:tc>
          <w:tcPr>
            <w:tcW w:w="2151" w:type="dxa"/>
          </w:tcPr>
          <w:p w14:paraId="52BFD00B" w14:textId="77777777" w:rsidR="006D724E" w:rsidRPr="00A65AF3" w:rsidRDefault="006D724E">
            <w:pPr>
              <w:pStyle w:val="TableParagraph"/>
              <w:ind w:left="0"/>
            </w:pPr>
          </w:p>
        </w:tc>
        <w:tc>
          <w:tcPr>
            <w:tcW w:w="3764" w:type="dxa"/>
          </w:tcPr>
          <w:p w14:paraId="52BFD00C" w14:textId="77777777" w:rsidR="006D724E" w:rsidRPr="00A65AF3" w:rsidRDefault="009F37FD">
            <w:pPr>
              <w:pStyle w:val="TableParagraph"/>
              <w:ind w:right="465"/>
            </w:pPr>
            <w:r w:rsidRPr="00A65AF3">
              <w:t>Rebuild or substantially repair structure of existing porch.</w:t>
            </w:r>
          </w:p>
        </w:tc>
        <w:tc>
          <w:tcPr>
            <w:tcW w:w="3944" w:type="dxa"/>
          </w:tcPr>
          <w:p w14:paraId="52BFD00D" w14:textId="77777777" w:rsidR="006D724E" w:rsidRPr="00A65AF3" w:rsidRDefault="006D724E">
            <w:pPr>
              <w:pStyle w:val="TableParagraph"/>
              <w:ind w:left="0"/>
            </w:pPr>
          </w:p>
        </w:tc>
      </w:tr>
      <w:tr w:rsidR="000A73BC" w14:paraId="52BFD012" w14:textId="77777777" w:rsidTr="006D724E">
        <w:trPr>
          <w:trHeight w:val="395"/>
        </w:trPr>
        <w:tc>
          <w:tcPr>
            <w:tcW w:w="2151" w:type="dxa"/>
            <w:shd w:val="clear" w:color="auto" w:fill="D9D9D9" w:themeFill="background1" w:themeFillShade="D9"/>
          </w:tcPr>
          <w:p w14:paraId="52BFD00F" w14:textId="77777777" w:rsidR="006D724E" w:rsidRPr="00A65AF3" w:rsidRDefault="009F37FD">
            <w:pPr>
              <w:pStyle w:val="TableParagraph"/>
              <w:spacing w:line="267" w:lineRule="exact"/>
              <w:rPr>
                <w:b/>
              </w:rPr>
            </w:pPr>
            <w:r w:rsidRPr="00A65AF3">
              <w:rPr>
                <w:b/>
              </w:rPr>
              <w:t>Floors</w:t>
            </w:r>
          </w:p>
        </w:tc>
        <w:tc>
          <w:tcPr>
            <w:tcW w:w="3764" w:type="dxa"/>
            <w:shd w:val="clear" w:color="auto" w:fill="D9D9D9" w:themeFill="background1" w:themeFillShade="D9"/>
          </w:tcPr>
          <w:p w14:paraId="52BFD010" w14:textId="77777777" w:rsidR="006D724E" w:rsidRPr="00A65AF3" w:rsidRDefault="006D724E">
            <w:pPr>
              <w:pStyle w:val="TableParagraph"/>
              <w:ind w:left="0"/>
            </w:pPr>
          </w:p>
        </w:tc>
        <w:tc>
          <w:tcPr>
            <w:tcW w:w="3944" w:type="dxa"/>
            <w:shd w:val="clear" w:color="auto" w:fill="D9D9D9" w:themeFill="background1" w:themeFillShade="D9"/>
          </w:tcPr>
          <w:p w14:paraId="52BFD011" w14:textId="77777777" w:rsidR="006D724E" w:rsidRPr="00A65AF3" w:rsidRDefault="006D724E">
            <w:pPr>
              <w:pStyle w:val="TableParagraph"/>
              <w:ind w:left="0"/>
            </w:pPr>
          </w:p>
        </w:tc>
      </w:tr>
      <w:tr w:rsidR="000A73BC" w14:paraId="52BFD016" w14:textId="77777777" w:rsidTr="006D724E">
        <w:trPr>
          <w:trHeight w:val="673"/>
        </w:trPr>
        <w:tc>
          <w:tcPr>
            <w:tcW w:w="2151" w:type="dxa"/>
          </w:tcPr>
          <w:p w14:paraId="52BFD013" w14:textId="77777777" w:rsidR="006D724E" w:rsidRPr="00A65AF3" w:rsidRDefault="009F37FD">
            <w:pPr>
              <w:pStyle w:val="TableParagraph"/>
              <w:spacing w:line="270" w:lineRule="exact"/>
            </w:pPr>
            <w:r w:rsidRPr="00A65AF3">
              <w:t>Ground Floor</w:t>
            </w:r>
          </w:p>
        </w:tc>
        <w:tc>
          <w:tcPr>
            <w:tcW w:w="3764" w:type="dxa"/>
          </w:tcPr>
          <w:p w14:paraId="52BFD014" w14:textId="77777777" w:rsidR="006D724E" w:rsidRPr="00A65AF3" w:rsidRDefault="009F37FD">
            <w:pPr>
              <w:pStyle w:val="TableParagraph"/>
              <w:ind w:right="972"/>
            </w:pPr>
            <w:r w:rsidRPr="00A65AF3">
              <w:t>Structure and dpc in new building.</w:t>
            </w:r>
          </w:p>
        </w:tc>
        <w:tc>
          <w:tcPr>
            <w:tcW w:w="3944" w:type="dxa"/>
          </w:tcPr>
          <w:p w14:paraId="52BFD015" w14:textId="77777777" w:rsidR="006D724E" w:rsidRPr="00A65AF3" w:rsidRDefault="009F37FD">
            <w:pPr>
              <w:pStyle w:val="TableParagraph"/>
              <w:ind w:right="218"/>
            </w:pPr>
            <w:r w:rsidRPr="00A65AF3">
              <w:t>Repair/replacement of small parts of an existing structure.</w:t>
            </w:r>
          </w:p>
        </w:tc>
      </w:tr>
    </w:tbl>
    <w:p w14:paraId="52BFD017" w14:textId="77777777" w:rsidR="006D724E" w:rsidRPr="00A65AF3" w:rsidRDefault="006D724E" w:rsidP="006D724E">
      <w:pPr>
        <w:pStyle w:val="BodyText"/>
      </w:pPr>
    </w:p>
    <w:p w14:paraId="52BFD018" w14:textId="77777777" w:rsidR="006D724E" w:rsidRPr="00A65AF3" w:rsidRDefault="006D724E" w:rsidP="006D724E">
      <w:pPr>
        <w:pStyle w:val="BodyText"/>
      </w:pPr>
    </w:p>
    <w:p w14:paraId="52BFD019" w14:textId="77777777" w:rsidR="006D724E" w:rsidRPr="00A65AF3" w:rsidRDefault="006D724E" w:rsidP="006D724E">
      <w:pPr>
        <w:pStyle w:val="BodyText"/>
        <w:spacing w:before="5"/>
      </w:pPr>
    </w:p>
    <w:tbl>
      <w:tblPr>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D01D" w14:textId="77777777" w:rsidTr="006D724E">
        <w:trPr>
          <w:trHeight w:val="885"/>
        </w:trPr>
        <w:tc>
          <w:tcPr>
            <w:tcW w:w="2151" w:type="dxa"/>
          </w:tcPr>
          <w:p w14:paraId="52BFD01A" w14:textId="77777777" w:rsidR="006D724E" w:rsidRPr="00A65AF3" w:rsidRDefault="009F37FD">
            <w:pPr>
              <w:pStyle w:val="TableParagraph"/>
              <w:spacing w:line="314" w:lineRule="exact"/>
              <w:rPr>
                <w:b/>
              </w:rPr>
            </w:pPr>
            <w:r w:rsidRPr="00A65AF3">
              <w:rPr>
                <w:b/>
              </w:rPr>
              <w:t>Element</w:t>
            </w:r>
          </w:p>
        </w:tc>
        <w:tc>
          <w:tcPr>
            <w:tcW w:w="3764" w:type="dxa"/>
          </w:tcPr>
          <w:p w14:paraId="52BFD01B" w14:textId="77777777" w:rsidR="006D724E" w:rsidRPr="00A65AF3" w:rsidRDefault="009F37FD">
            <w:pPr>
              <w:pStyle w:val="TableParagraph"/>
              <w:ind w:right="173"/>
              <w:rPr>
                <w:b/>
              </w:rPr>
            </w:pPr>
            <w:r w:rsidRPr="00A65AF3">
              <w:rPr>
                <w:b/>
              </w:rPr>
              <w:t>Capital: as CIPFA Code of Practice</w:t>
            </w:r>
          </w:p>
        </w:tc>
        <w:tc>
          <w:tcPr>
            <w:tcW w:w="3944" w:type="dxa"/>
          </w:tcPr>
          <w:p w14:paraId="52BFD01C" w14:textId="77777777" w:rsidR="006D724E" w:rsidRPr="00A65AF3" w:rsidRDefault="009F37FD">
            <w:pPr>
              <w:pStyle w:val="TableParagraph"/>
              <w:ind w:right="959"/>
              <w:rPr>
                <w:b/>
              </w:rPr>
            </w:pPr>
            <w:r w:rsidRPr="00A65AF3">
              <w:rPr>
                <w:b/>
              </w:rPr>
              <w:t>Revenue: repairs and maintenance</w:t>
            </w:r>
          </w:p>
        </w:tc>
      </w:tr>
      <w:tr w:rsidR="000A73BC" w14:paraId="52BFD021" w14:textId="77777777" w:rsidTr="006D724E">
        <w:trPr>
          <w:trHeight w:val="1499"/>
        </w:trPr>
        <w:tc>
          <w:tcPr>
            <w:tcW w:w="2151" w:type="dxa"/>
          </w:tcPr>
          <w:p w14:paraId="52BFD01E" w14:textId="77777777" w:rsidR="006D724E" w:rsidRPr="00A65AF3" w:rsidRDefault="006D724E">
            <w:pPr>
              <w:pStyle w:val="TableParagraph"/>
              <w:ind w:left="0"/>
            </w:pPr>
          </w:p>
        </w:tc>
        <w:tc>
          <w:tcPr>
            <w:tcW w:w="3764" w:type="dxa"/>
          </w:tcPr>
          <w:p w14:paraId="52BFD01F" w14:textId="77777777" w:rsidR="006D724E" w:rsidRPr="00A65AF3" w:rsidRDefault="009F37FD">
            <w:pPr>
              <w:pStyle w:val="TableParagraph"/>
              <w:ind w:right="145"/>
            </w:pPr>
            <w:r w:rsidRPr="00A65AF3">
              <w:t>Structure and dpc – replacement of all or substantial part of an existing structure to prevent imminent or correct actual major failure of the structure.</w:t>
            </w:r>
          </w:p>
        </w:tc>
        <w:tc>
          <w:tcPr>
            <w:tcW w:w="3944" w:type="dxa"/>
          </w:tcPr>
          <w:p w14:paraId="52BFD020" w14:textId="77777777" w:rsidR="006D724E" w:rsidRPr="00A65AF3" w:rsidRDefault="006D724E">
            <w:pPr>
              <w:pStyle w:val="TableParagraph"/>
              <w:ind w:left="0"/>
            </w:pPr>
          </w:p>
        </w:tc>
      </w:tr>
      <w:tr w:rsidR="000A73BC" w14:paraId="52BFD025" w14:textId="77777777" w:rsidTr="006D724E">
        <w:trPr>
          <w:trHeight w:val="1500"/>
        </w:trPr>
        <w:tc>
          <w:tcPr>
            <w:tcW w:w="2151" w:type="dxa"/>
          </w:tcPr>
          <w:p w14:paraId="52BFD022" w14:textId="77777777" w:rsidR="006D724E" w:rsidRPr="00A65AF3" w:rsidRDefault="006D724E">
            <w:pPr>
              <w:pStyle w:val="TableParagraph"/>
              <w:ind w:left="0"/>
            </w:pPr>
          </w:p>
        </w:tc>
        <w:tc>
          <w:tcPr>
            <w:tcW w:w="3764" w:type="dxa"/>
          </w:tcPr>
          <w:p w14:paraId="52BFD023" w14:textId="77777777" w:rsidR="006D724E" w:rsidRPr="00A65AF3" w:rsidRDefault="009F37FD">
            <w:pPr>
              <w:pStyle w:val="TableParagraph"/>
              <w:ind w:right="278"/>
            </w:pPr>
            <w:r w:rsidRPr="00A65AF3">
              <w:t>Screed and finish in new build, replacement of all/ substantially all on existing floor – e.g. replacement of most carpets/ tiles in a room.</w:t>
            </w:r>
          </w:p>
        </w:tc>
        <w:tc>
          <w:tcPr>
            <w:tcW w:w="3944" w:type="dxa"/>
          </w:tcPr>
          <w:p w14:paraId="52BFD024" w14:textId="77777777" w:rsidR="006D724E" w:rsidRPr="00A65AF3" w:rsidRDefault="009F37FD">
            <w:pPr>
              <w:pStyle w:val="TableParagraph"/>
              <w:ind w:right="191"/>
            </w:pPr>
            <w:r w:rsidRPr="00A65AF3">
              <w:t>Replacement and repair of screed and finishes/ Replacement of mats/matwells. Maintenance e.g. revarnishing wooden floors.</w:t>
            </w:r>
          </w:p>
        </w:tc>
      </w:tr>
      <w:tr w:rsidR="000A73BC" w14:paraId="52BFD029" w14:textId="77777777" w:rsidTr="006D724E">
        <w:trPr>
          <w:trHeight w:val="395"/>
        </w:trPr>
        <w:tc>
          <w:tcPr>
            <w:tcW w:w="2151" w:type="dxa"/>
          </w:tcPr>
          <w:p w14:paraId="52BFD026" w14:textId="77777777" w:rsidR="006D724E" w:rsidRPr="00A65AF3" w:rsidRDefault="009F37FD">
            <w:pPr>
              <w:pStyle w:val="TableParagraph"/>
              <w:spacing w:line="267" w:lineRule="exact"/>
            </w:pPr>
            <w:r w:rsidRPr="00A65AF3">
              <w:t>Upper Floor</w:t>
            </w:r>
          </w:p>
        </w:tc>
        <w:tc>
          <w:tcPr>
            <w:tcW w:w="3764" w:type="dxa"/>
          </w:tcPr>
          <w:p w14:paraId="52BFD027" w14:textId="77777777" w:rsidR="006D724E" w:rsidRPr="00A65AF3" w:rsidRDefault="009F37FD">
            <w:pPr>
              <w:pStyle w:val="TableParagraph"/>
              <w:spacing w:line="267" w:lineRule="exact"/>
            </w:pPr>
            <w:r w:rsidRPr="00A65AF3">
              <w:t>Structure – as ground floor.</w:t>
            </w:r>
          </w:p>
        </w:tc>
        <w:tc>
          <w:tcPr>
            <w:tcW w:w="3944" w:type="dxa"/>
          </w:tcPr>
          <w:p w14:paraId="52BFD028" w14:textId="77777777" w:rsidR="006D724E" w:rsidRPr="00A65AF3" w:rsidRDefault="009F37FD">
            <w:pPr>
              <w:pStyle w:val="TableParagraph"/>
              <w:spacing w:line="267" w:lineRule="exact"/>
            </w:pPr>
            <w:r w:rsidRPr="00A65AF3">
              <w:t>As ground floor.</w:t>
            </w:r>
          </w:p>
        </w:tc>
      </w:tr>
      <w:tr w:rsidR="000A73BC" w14:paraId="52BFD02D" w14:textId="77777777" w:rsidTr="006D724E">
        <w:trPr>
          <w:trHeight w:val="671"/>
        </w:trPr>
        <w:tc>
          <w:tcPr>
            <w:tcW w:w="2151" w:type="dxa"/>
          </w:tcPr>
          <w:p w14:paraId="52BFD02A" w14:textId="77777777" w:rsidR="006D724E" w:rsidRPr="00A65AF3" w:rsidRDefault="006D724E">
            <w:pPr>
              <w:pStyle w:val="TableParagraph"/>
              <w:ind w:left="0"/>
            </w:pPr>
          </w:p>
        </w:tc>
        <w:tc>
          <w:tcPr>
            <w:tcW w:w="3764" w:type="dxa"/>
          </w:tcPr>
          <w:p w14:paraId="52BFD02B" w14:textId="77777777" w:rsidR="006D724E" w:rsidRPr="00A65AF3" w:rsidRDefault="009F37FD">
            <w:pPr>
              <w:pStyle w:val="TableParagraph"/>
              <w:ind w:right="438"/>
            </w:pPr>
            <w:r w:rsidRPr="00A65AF3">
              <w:t>Screed and finish – as ground floor.</w:t>
            </w:r>
          </w:p>
        </w:tc>
        <w:tc>
          <w:tcPr>
            <w:tcW w:w="3944" w:type="dxa"/>
          </w:tcPr>
          <w:p w14:paraId="52BFD02C" w14:textId="77777777" w:rsidR="006D724E" w:rsidRPr="00A65AF3" w:rsidRDefault="009F37FD">
            <w:pPr>
              <w:pStyle w:val="TableParagraph"/>
              <w:ind w:right="85"/>
            </w:pPr>
            <w:r w:rsidRPr="00A65AF3">
              <w:t>Repairs of finishes/ Replacement – as ground floor.</w:t>
            </w:r>
          </w:p>
        </w:tc>
      </w:tr>
      <w:tr w:rsidR="000A73BC" w14:paraId="52BFD031" w14:textId="77777777" w:rsidTr="006D724E">
        <w:trPr>
          <w:trHeight w:val="395"/>
        </w:trPr>
        <w:tc>
          <w:tcPr>
            <w:tcW w:w="2151" w:type="dxa"/>
            <w:shd w:val="clear" w:color="auto" w:fill="D9D9D9" w:themeFill="background1" w:themeFillShade="D9"/>
          </w:tcPr>
          <w:p w14:paraId="52BFD02E" w14:textId="77777777" w:rsidR="006D724E" w:rsidRPr="00A65AF3" w:rsidRDefault="009F37FD">
            <w:pPr>
              <w:pStyle w:val="TableParagraph"/>
              <w:spacing w:line="267" w:lineRule="exact"/>
              <w:rPr>
                <w:b/>
              </w:rPr>
            </w:pPr>
            <w:r w:rsidRPr="00A65AF3">
              <w:rPr>
                <w:b/>
              </w:rPr>
              <w:t>Ceilings</w:t>
            </w:r>
          </w:p>
        </w:tc>
        <w:tc>
          <w:tcPr>
            <w:tcW w:w="3764" w:type="dxa"/>
            <w:shd w:val="clear" w:color="auto" w:fill="D9D9D9" w:themeFill="background1" w:themeFillShade="D9"/>
          </w:tcPr>
          <w:p w14:paraId="52BFD02F" w14:textId="77777777" w:rsidR="006D724E" w:rsidRPr="00A65AF3" w:rsidRDefault="006D724E">
            <w:pPr>
              <w:pStyle w:val="TableParagraph"/>
              <w:ind w:left="0"/>
            </w:pPr>
          </w:p>
        </w:tc>
        <w:tc>
          <w:tcPr>
            <w:tcW w:w="3944" w:type="dxa"/>
            <w:shd w:val="clear" w:color="auto" w:fill="D9D9D9" w:themeFill="background1" w:themeFillShade="D9"/>
          </w:tcPr>
          <w:p w14:paraId="52BFD030" w14:textId="77777777" w:rsidR="006D724E" w:rsidRPr="00A65AF3" w:rsidRDefault="006D724E">
            <w:pPr>
              <w:pStyle w:val="TableParagraph"/>
              <w:ind w:left="0"/>
            </w:pPr>
          </w:p>
        </w:tc>
      </w:tr>
      <w:tr w:rsidR="000A73BC" w14:paraId="52BFD035" w14:textId="77777777" w:rsidTr="006D724E">
        <w:trPr>
          <w:trHeight w:val="947"/>
        </w:trPr>
        <w:tc>
          <w:tcPr>
            <w:tcW w:w="2151" w:type="dxa"/>
          </w:tcPr>
          <w:p w14:paraId="52BFD032" w14:textId="77777777" w:rsidR="006D724E" w:rsidRPr="00A65AF3" w:rsidRDefault="009F37FD">
            <w:pPr>
              <w:pStyle w:val="TableParagraph"/>
              <w:spacing w:line="270" w:lineRule="exact"/>
            </w:pPr>
            <w:r w:rsidRPr="00A65AF3">
              <w:t>Top only storey</w:t>
            </w:r>
          </w:p>
        </w:tc>
        <w:tc>
          <w:tcPr>
            <w:tcW w:w="3764" w:type="dxa"/>
          </w:tcPr>
          <w:p w14:paraId="52BFD033" w14:textId="77777777" w:rsidR="006D724E" w:rsidRPr="00A65AF3" w:rsidRDefault="009F37FD">
            <w:pPr>
              <w:pStyle w:val="TableParagraph"/>
              <w:spacing w:line="270" w:lineRule="exact"/>
            </w:pPr>
            <w:r w:rsidRPr="00A65AF3">
              <w:t>Suspension.</w:t>
            </w:r>
          </w:p>
        </w:tc>
        <w:tc>
          <w:tcPr>
            <w:tcW w:w="3944" w:type="dxa"/>
          </w:tcPr>
          <w:p w14:paraId="52BFD034" w14:textId="77777777" w:rsidR="006D724E" w:rsidRPr="00A65AF3" w:rsidRDefault="009F37FD">
            <w:pPr>
              <w:pStyle w:val="TableParagraph"/>
              <w:ind w:right="151"/>
            </w:pPr>
            <w:r w:rsidRPr="00A65AF3">
              <w:t>Repair/replacement including from water damage and necessary decoration.</w:t>
            </w:r>
          </w:p>
        </w:tc>
      </w:tr>
      <w:tr w:rsidR="000A73BC" w14:paraId="52BFD039" w14:textId="77777777" w:rsidTr="006D724E">
        <w:trPr>
          <w:trHeight w:val="398"/>
        </w:trPr>
        <w:tc>
          <w:tcPr>
            <w:tcW w:w="2151" w:type="dxa"/>
          </w:tcPr>
          <w:p w14:paraId="52BFD036" w14:textId="77777777" w:rsidR="006D724E" w:rsidRPr="00A65AF3" w:rsidRDefault="006D724E">
            <w:pPr>
              <w:pStyle w:val="TableParagraph"/>
              <w:ind w:left="0"/>
            </w:pPr>
          </w:p>
        </w:tc>
        <w:tc>
          <w:tcPr>
            <w:tcW w:w="3764" w:type="dxa"/>
          </w:tcPr>
          <w:p w14:paraId="52BFD037" w14:textId="77777777" w:rsidR="006D724E" w:rsidRPr="00A65AF3" w:rsidRDefault="009F37FD">
            <w:pPr>
              <w:pStyle w:val="TableParagraph"/>
              <w:spacing w:line="270" w:lineRule="exact"/>
            </w:pPr>
            <w:r w:rsidRPr="00A65AF3">
              <w:t>Membrane</w:t>
            </w:r>
          </w:p>
        </w:tc>
        <w:tc>
          <w:tcPr>
            <w:tcW w:w="3944" w:type="dxa"/>
          </w:tcPr>
          <w:p w14:paraId="52BFD038" w14:textId="77777777" w:rsidR="006D724E" w:rsidRPr="00A65AF3" w:rsidRDefault="006D724E">
            <w:pPr>
              <w:pStyle w:val="TableParagraph"/>
              <w:ind w:left="0"/>
            </w:pPr>
          </w:p>
        </w:tc>
      </w:tr>
      <w:tr w:rsidR="000A73BC" w14:paraId="52BFD03D" w14:textId="77777777" w:rsidTr="006D724E">
        <w:trPr>
          <w:trHeight w:val="671"/>
        </w:trPr>
        <w:tc>
          <w:tcPr>
            <w:tcW w:w="2151" w:type="dxa"/>
          </w:tcPr>
          <w:p w14:paraId="52BFD03A" w14:textId="77777777" w:rsidR="006D724E" w:rsidRPr="00A65AF3" w:rsidRDefault="006D724E">
            <w:pPr>
              <w:pStyle w:val="TableParagraph"/>
              <w:ind w:left="0"/>
            </w:pPr>
          </w:p>
        </w:tc>
        <w:tc>
          <w:tcPr>
            <w:tcW w:w="3764" w:type="dxa"/>
          </w:tcPr>
          <w:p w14:paraId="52BFD03B" w14:textId="77777777" w:rsidR="006D724E" w:rsidRPr="00A65AF3" w:rsidRDefault="009F37FD">
            <w:pPr>
              <w:pStyle w:val="TableParagraph"/>
              <w:spacing w:line="267" w:lineRule="exact"/>
            </w:pPr>
            <w:r w:rsidRPr="00A65AF3">
              <w:t>Fixed</w:t>
            </w:r>
          </w:p>
        </w:tc>
        <w:tc>
          <w:tcPr>
            <w:tcW w:w="3944" w:type="dxa"/>
          </w:tcPr>
          <w:p w14:paraId="52BFD03C" w14:textId="77777777" w:rsidR="006D724E" w:rsidRPr="00A65AF3" w:rsidRDefault="009F37FD">
            <w:pPr>
              <w:pStyle w:val="TableParagraph"/>
              <w:ind w:right="659"/>
            </w:pPr>
            <w:r w:rsidRPr="00A65AF3">
              <w:t>Repair/ replacement inc. from water damage.</w:t>
            </w:r>
          </w:p>
        </w:tc>
      </w:tr>
      <w:tr w:rsidR="000A73BC" w14:paraId="52BFD041" w14:textId="77777777" w:rsidTr="006D724E">
        <w:trPr>
          <w:trHeight w:val="395"/>
        </w:trPr>
        <w:tc>
          <w:tcPr>
            <w:tcW w:w="2151" w:type="dxa"/>
          </w:tcPr>
          <w:p w14:paraId="52BFD03E" w14:textId="77777777" w:rsidR="006D724E" w:rsidRPr="00A65AF3" w:rsidRDefault="006D724E">
            <w:pPr>
              <w:pStyle w:val="TableParagraph"/>
              <w:ind w:left="0"/>
            </w:pPr>
          </w:p>
        </w:tc>
        <w:tc>
          <w:tcPr>
            <w:tcW w:w="3764" w:type="dxa"/>
          </w:tcPr>
          <w:p w14:paraId="52BFD03F" w14:textId="77777777" w:rsidR="006D724E" w:rsidRPr="00A65AF3" w:rsidRDefault="009F37FD">
            <w:pPr>
              <w:pStyle w:val="TableParagraph"/>
              <w:spacing w:line="267" w:lineRule="exact"/>
            </w:pPr>
            <w:r w:rsidRPr="00A65AF3">
              <w:t>Access panels</w:t>
            </w:r>
          </w:p>
        </w:tc>
        <w:tc>
          <w:tcPr>
            <w:tcW w:w="3944" w:type="dxa"/>
          </w:tcPr>
          <w:p w14:paraId="52BFD040" w14:textId="77777777" w:rsidR="006D724E" w:rsidRPr="00A65AF3" w:rsidRDefault="009F37FD">
            <w:pPr>
              <w:pStyle w:val="TableParagraph"/>
              <w:spacing w:line="267" w:lineRule="exact"/>
            </w:pPr>
            <w:r w:rsidRPr="00A65AF3">
              <w:t>Repair/ replacement.</w:t>
            </w:r>
          </w:p>
        </w:tc>
      </w:tr>
      <w:tr w:rsidR="000A73BC" w14:paraId="52BFD045" w14:textId="77777777" w:rsidTr="006D724E">
        <w:trPr>
          <w:trHeight w:val="395"/>
        </w:trPr>
        <w:tc>
          <w:tcPr>
            <w:tcW w:w="2151" w:type="dxa"/>
          </w:tcPr>
          <w:p w14:paraId="52BFD042" w14:textId="77777777" w:rsidR="006D724E" w:rsidRPr="00A65AF3" w:rsidRDefault="009F37FD">
            <w:pPr>
              <w:pStyle w:val="TableParagraph"/>
              <w:spacing w:line="267" w:lineRule="exact"/>
            </w:pPr>
            <w:r w:rsidRPr="00A65AF3">
              <w:t>Lower Storeys</w:t>
            </w:r>
          </w:p>
        </w:tc>
        <w:tc>
          <w:tcPr>
            <w:tcW w:w="3764" w:type="dxa"/>
          </w:tcPr>
          <w:p w14:paraId="52BFD043" w14:textId="77777777" w:rsidR="006D724E" w:rsidRPr="00A65AF3" w:rsidRDefault="009F37FD">
            <w:pPr>
              <w:pStyle w:val="TableParagraph"/>
              <w:spacing w:line="267" w:lineRule="exact"/>
            </w:pPr>
            <w:r w:rsidRPr="00A65AF3">
              <w:t>Suspension.</w:t>
            </w:r>
          </w:p>
        </w:tc>
        <w:tc>
          <w:tcPr>
            <w:tcW w:w="3944" w:type="dxa"/>
          </w:tcPr>
          <w:p w14:paraId="52BFD044" w14:textId="77777777" w:rsidR="006D724E" w:rsidRPr="00A65AF3" w:rsidRDefault="009F37FD">
            <w:pPr>
              <w:pStyle w:val="TableParagraph"/>
              <w:spacing w:line="267" w:lineRule="exact"/>
            </w:pPr>
            <w:r w:rsidRPr="00A65AF3">
              <w:t>Repair/ replacement.</w:t>
            </w:r>
          </w:p>
        </w:tc>
      </w:tr>
      <w:tr w:rsidR="000A73BC" w14:paraId="52BFD049" w14:textId="77777777" w:rsidTr="006D724E">
        <w:trPr>
          <w:trHeight w:val="395"/>
        </w:trPr>
        <w:tc>
          <w:tcPr>
            <w:tcW w:w="2151" w:type="dxa"/>
          </w:tcPr>
          <w:p w14:paraId="52BFD046" w14:textId="77777777" w:rsidR="006D724E" w:rsidRPr="00A65AF3" w:rsidRDefault="006D724E">
            <w:pPr>
              <w:pStyle w:val="TableParagraph"/>
              <w:ind w:left="0"/>
            </w:pPr>
          </w:p>
        </w:tc>
        <w:tc>
          <w:tcPr>
            <w:tcW w:w="3764" w:type="dxa"/>
          </w:tcPr>
          <w:p w14:paraId="52BFD047" w14:textId="77777777" w:rsidR="006D724E" w:rsidRPr="00A65AF3" w:rsidRDefault="009F37FD">
            <w:pPr>
              <w:pStyle w:val="TableParagraph"/>
              <w:spacing w:line="267" w:lineRule="exact"/>
            </w:pPr>
            <w:r w:rsidRPr="00A65AF3">
              <w:t>Membrane Fixed</w:t>
            </w:r>
          </w:p>
        </w:tc>
        <w:tc>
          <w:tcPr>
            <w:tcW w:w="3944" w:type="dxa"/>
          </w:tcPr>
          <w:p w14:paraId="52BFD048" w14:textId="77777777" w:rsidR="006D724E" w:rsidRPr="00A65AF3" w:rsidRDefault="009F37FD">
            <w:pPr>
              <w:pStyle w:val="TableParagraph"/>
              <w:spacing w:line="267" w:lineRule="exact"/>
            </w:pPr>
            <w:r w:rsidRPr="00A65AF3">
              <w:t>Repair/ replacement.</w:t>
            </w:r>
          </w:p>
        </w:tc>
      </w:tr>
      <w:tr w:rsidR="000A73BC" w14:paraId="52BFD04D" w14:textId="77777777" w:rsidTr="006D724E">
        <w:trPr>
          <w:trHeight w:val="1223"/>
        </w:trPr>
        <w:tc>
          <w:tcPr>
            <w:tcW w:w="2151" w:type="dxa"/>
          </w:tcPr>
          <w:p w14:paraId="52BFD04A" w14:textId="77777777" w:rsidR="006D724E" w:rsidRPr="00A65AF3" w:rsidRDefault="009F37FD">
            <w:pPr>
              <w:pStyle w:val="TableParagraph"/>
              <w:spacing w:line="267" w:lineRule="exact"/>
            </w:pPr>
            <w:r w:rsidRPr="00A65AF3">
              <w:t>All</w:t>
            </w:r>
          </w:p>
        </w:tc>
        <w:tc>
          <w:tcPr>
            <w:tcW w:w="3764" w:type="dxa"/>
          </w:tcPr>
          <w:p w14:paraId="52BFD04B" w14:textId="77777777" w:rsidR="006D724E" w:rsidRPr="00A65AF3" w:rsidRDefault="009F37FD">
            <w:pPr>
              <w:pStyle w:val="TableParagraph"/>
              <w:ind w:right="131"/>
            </w:pPr>
            <w:r w:rsidRPr="00A65AF3">
              <w:t>Specialist removal/ replacement of damaged/ disturbed asbestos- based materials, planned or emergency.</w:t>
            </w:r>
          </w:p>
        </w:tc>
        <w:tc>
          <w:tcPr>
            <w:tcW w:w="3944" w:type="dxa"/>
          </w:tcPr>
          <w:p w14:paraId="52BFD04C" w14:textId="77777777" w:rsidR="006D724E" w:rsidRPr="00A65AF3" w:rsidRDefault="009F37FD">
            <w:pPr>
              <w:pStyle w:val="TableParagraph"/>
              <w:ind w:right="124"/>
            </w:pPr>
            <w:r w:rsidRPr="00A65AF3">
              <w:t>Inspection/ air testing. Applying sealant coats to asbestos surfaces for protection.</w:t>
            </w:r>
          </w:p>
        </w:tc>
      </w:tr>
      <w:tr w:rsidR="000A73BC" w14:paraId="52BFD051" w14:textId="77777777" w:rsidTr="006D724E">
        <w:trPr>
          <w:trHeight w:val="398"/>
        </w:trPr>
        <w:tc>
          <w:tcPr>
            <w:tcW w:w="2151" w:type="dxa"/>
            <w:shd w:val="clear" w:color="auto" w:fill="D9D9D9" w:themeFill="background1" w:themeFillShade="D9"/>
          </w:tcPr>
          <w:p w14:paraId="52BFD04E" w14:textId="77777777" w:rsidR="006D724E" w:rsidRPr="00A65AF3" w:rsidRDefault="009F37FD">
            <w:pPr>
              <w:pStyle w:val="TableParagraph"/>
              <w:spacing w:line="270" w:lineRule="exact"/>
              <w:rPr>
                <w:b/>
              </w:rPr>
            </w:pPr>
            <w:r w:rsidRPr="00A65AF3">
              <w:rPr>
                <w:b/>
              </w:rPr>
              <w:t>External Walls</w:t>
            </w:r>
          </w:p>
        </w:tc>
        <w:tc>
          <w:tcPr>
            <w:tcW w:w="3764" w:type="dxa"/>
            <w:shd w:val="clear" w:color="auto" w:fill="D9D9D9" w:themeFill="background1" w:themeFillShade="D9"/>
          </w:tcPr>
          <w:p w14:paraId="52BFD04F" w14:textId="77777777" w:rsidR="006D724E" w:rsidRPr="00A65AF3" w:rsidRDefault="006D724E">
            <w:pPr>
              <w:pStyle w:val="TableParagraph"/>
              <w:ind w:left="0"/>
            </w:pPr>
          </w:p>
        </w:tc>
        <w:tc>
          <w:tcPr>
            <w:tcW w:w="3944" w:type="dxa"/>
            <w:shd w:val="clear" w:color="auto" w:fill="D9D9D9" w:themeFill="background1" w:themeFillShade="D9"/>
          </w:tcPr>
          <w:p w14:paraId="52BFD050" w14:textId="77777777" w:rsidR="006D724E" w:rsidRPr="00A65AF3" w:rsidRDefault="006D724E">
            <w:pPr>
              <w:pStyle w:val="TableParagraph"/>
              <w:ind w:left="0"/>
            </w:pPr>
          </w:p>
        </w:tc>
      </w:tr>
      <w:tr w:rsidR="000A73BC" w14:paraId="52BFD056" w14:textId="77777777" w:rsidTr="006D724E">
        <w:trPr>
          <w:trHeight w:val="2051"/>
        </w:trPr>
        <w:tc>
          <w:tcPr>
            <w:tcW w:w="2151" w:type="dxa"/>
          </w:tcPr>
          <w:p w14:paraId="52BFD052" w14:textId="77777777" w:rsidR="006D724E" w:rsidRPr="00A65AF3" w:rsidRDefault="009F37FD">
            <w:pPr>
              <w:pStyle w:val="TableParagraph"/>
              <w:spacing w:line="267" w:lineRule="exact"/>
            </w:pPr>
            <w:r w:rsidRPr="00A65AF3">
              <w:t>Masonry/Cladding</w:t>
            </w:r>
          </w:p>
        </w:tc>
        <w:tc>
          <w:tcPr>
            <w:tcW w:w="3764" w:type="dxa"/>
          </w:tcPr>
          <w:p w14:paraId="52BFD053" w14:textId="77777777" w:rsidR="006D724E" w:rsidRPr="00A65AF3" w:rsidRDefault="009F37FD">
            <w:pPr>
              <w:pStyle w:val="TableParagraph"/>
              <w:ind w:right="173"/>
            </w:pPr>
            <w:r w:rsidRPr="00A65AF3">
              <w:t>Structure. Underpinning/ propping for new build. External finish on new build.</w:t>
            </w:r>
          </w:p>
        </w:tc>
        <w:tc>
          <w:tcPr>
            <w:tcW w:w="3944" w:type="dxa"/>
          </w:tcPr>
          <w:p w14:paraId="52BFD054" w14:textId="77777777" w:rsidR="006D724E" w:rsidRPr="00A65AF3" w:rsidRDefault="009F37FD">
            <w:pPr>
              <w:pStyle w:val="TableParagraph"/>
              <w:spacing w:line="267" w:lineRule="exact"/>
            </w:pPr>
            <w:r w:rsidRPr="00A65AF3">
              <w:t>Repairs. Preventative measures</w:t>
            </w:r>
          </w:p>
          <w:p w14:paraId="52BFD055" w14:textId="77777777" w:rsidR="006D724E" w:rsidRPr="00A65AF3" w:rsidRDefault="009F37FD">
            <w:pPr>
              <w:pStyle w:val="TableParagraph"/>
              <w:ind w:right="218"/>
            </w:pPr>
            <w:r w:rsidRPr="00A65AF3">
              <w:t>e.g. tree removal. Repair/replacement of small parts of an existing structure e.g. repointing/recladding a proportion of a wall where failure has occurred.</w:t>
            </w:r>
          </w:p>
        </w:tc>
      </w:tr>
      <w:tr w:rsidR="000A73BC" w14:paraId="52BFD05A" w14:textId="77777777" w:rsidTr="006D724E">
        <w:trPr>
          <w:trHeight w:val="2052"/>
        </w:trPr>
        <w:tc>
          <w:tcPr>
            <w:tcW w:w="2151" w:type="dxa"/>
          </w:tcPr>
          <w:p w14:paraId="52BFD057" w14:textId="77777777" w:rsidR="006D724E" w:rsidRPr="00A65AF3" w:rsidRDefault="006D724E">
            <w:pPr>
              <w:pStyle w:val="TableParagraph"/>
              <w:ind w:left="0"/>
            </w:pPr>
          </w:p>
        </w:tc>
        <w:tc>
          <w:tcPr>
            <w:tcW w:w="3764" w:type="dxa"/>
          </w:tcPr>
          <w:p w14:paraId="52BFD058" w14:textId="77777777" w:rsidR="006D724E" w:rsidRPr="00A65AF3" w:rsidRDefault="009F37FD">
            <w:pPr>
              <w:pStyle w:val="TableParagraph"/>
              <w:ind w:right="199"/>
            </w:pPr>
            <w:r w:rsidRPr="00A65AF3">
              <w:t>External finish on existing build where needed to prevent imminent or correct actual major failure of the structure, e.g. repointing/recladding work affecting most of a building/ replacement build.</w:t>
            </w:r>
          </w:p>
        </w:tc>
        <w:tc>
          <w:tcPr>
            <w:tcW w:w="3944" w:type="dxa"/>
          </w:tcPr>
          <w:p w14:paraId="52BFD059" w14:textId="77777777" w:rsidR="006D724E" w:rsidRPr="00A65AF3" w:rsidRDefault="006D724E">
            <w:pPr>
              <w:pStyle w:val="TableParagraph"/>
              <w:ind w:left="0"/>
            </w:pPr>
          </w:p>
        </w:tc>
      </w:tr>
      <w:tr w:rsidR="000A73BC" w14:paraId="52BFD060" w14:textId="77777777" w:rsidTr="00540F3B">
        <w:trPr>
          <w:trHeight w:val="885"/>
        </w:trPr>
        <w:tc>
          <w:tcPr>
            <w:tcW w:w="2151" w:type="dxa"/>
          </w:tcPr>
          <w:p w14:paraId="52BFD05D" w14:textId="77777777" w:rsidR="006D724E" w:rsidRPr="00A65AF3" w:rsidRDefault="009F37FD">
            <w:pPr>
              <w:pStyle w:val="TableParagraph"/>
              <w:spacing w:line="314" w:lineRule="exact"/>
              <w:rPr>
                <w:b/>
              </w:rPr>
            </w:pPr>
            <w:r w:rsidRPr="00A65AF3">
              <w:rPr>
                <w:b/>
              </w:rPr>
              <w:t>Element</w:t>
            </w:r>
          </w:p>
        </w:tc>
        <w:tc>
          <w:tcPr>
            <w:tcW w:w="3764" w:type="dxa"/>
          </w:tcPr>
          <w:p w14:paraId="52BFD05E" w14:textId="77777777" w:rsidR="006D724E" w:rsidRPr="00A65AF3" w:rsidRDefault="009F37FD">
            <w:pPr>
              <w:pStyle w:val="TableParagraph"/>
              <w:ind w:right="173"/>
              <w:rPr>
                <w:b/>
              </w:rPr>
            </w:pPr>
            <w:r w:rsidRPr="00A65AF3">
              <w:rPr>
                <w:b/>
              </w:rPr>
              <w:t>Capital: as CIPFA Code of Practice</w:t>
            </w:r>
          </w:p>
        </w:tc>
        <w:tc>
          <w:tcPr>
            <w:tcW w:w="3944" w:type="dxa"/>
          </w:tcPr>
          <w:p w14:paraId="52BFD05F" w14:textId="77777777" w:rsidR="006D724E" w:rsidRPr="00A65AF3" w:rsidRDefault="009F37FD">
            <w:pPr>
              <w:pStyle w:val="TableParagraph"/>
              <w:ind w:right="959"/>
              <w:rPr>
                <w:b/>
              </w:rPr>
            </w:pPr>
            <w:r w:rsidRPr="00A65AF3">
              <w:rPr>
                <w:b/>
              </w:rPr>
              <w:t>Revenue: repairs and maintenance</w:t>
            </w:r>
          </w:p>
        </w:tc>
      </w:tr>
      <w:tr w:rsidR="000A73BC" w14:paraId="52BFD064" w14:textId="77777777" w:rsidTr="00540F3B">
        <w:trPr>
          <w:trHeight w:val="671"/>
        </w:trPr>
        <w:tc>
          <w:tcPr>
            <w:tcW w:w="2151" w:type="dxa"/>
          </w:tcPr>
          <w:p w14:paraId="52BFD061" w14:textId="77777777" w:rsidR="006D724E" w:rsidRPr="00A65AF3" w:rsidRDefault="009F37FD">
            <w:pPr>
              <w:pStyle w:val="TableParagraph"/>
              <w:ind w:right="573"/>
            </w:pPr>
            <w:r w:rsidRPr="00A65AF3">
              <w:t>Windows and Doors</w:t>
            </w:r>
          </w:p>
        </w:tc>
        <w:tc>
          <w:tcPr>
            <w:tcW w:w="3764" w:type="dxa"/>
          </w:tcPr>
          <w:p w14:paraId="52BFD062" w14:textId="77777777" w:rsidR="006D724E" w:rsidRPr="00A65AF3" w:rsidRDefault="009F37FD">
            <w:pPr>
              <w:pStyle w:val="TableParagraph"/>
              <w:spacing w:line="267" w:lineRule="exact"/>
            </w:pPr>
            <w:r w:rsidRPr="00A65AF3">
              <w:t>Framing – new build.</w:t>
            </w:r>
          </w:p>
        </w:tc>
        <w:tc>
          <w:tcPr>
            <w:tcW w:w="3944" w:type="dxa"/>
          </w:tcPr>
          <w:p w14:paraId="52BFD063" w14:textId="77777777" w:rsidR="006D724E" w:rsidRPr="00A65AF3" w:rsidRDefault="009F37FD">
            <w:pPr>
              <w:pStyle w:val="TableParagraph"/>
              <w:ind w:right="378"/>
            </w:pPr>
            <w:r w:rsidRPr="00A65AF3">
              <w:t>Repair/replacement of individual frames. Repainting frames.</w:t>
            </w:r>
          </w:p>
        </w:tc>
      </w:tr>
      <w:tr w:rsidR="000A73BC" w14:paraId="52BFD068" w14:textId="77777777" w:rsidTr="00540F3B">
        <w:trPr>
          <w:trHeight w:val="671"/>
        </w:trPr>
        <w:tc>
          <w:tcPr>
            <w:tcW w:w="2151" w:type="dxa"/>
          </w:tcPr>
          <w:p w14:paraId="52BFD065" w14:textId="77777777" w:rsidR="006D724E" w:rsidRPr="00A65AF3" w:rsidRDefault="006D724E">
            <w:pPr>
              <w:pStyle w:val="TableParagraph"/>
              <w:ind w:left="0"/>
            </w:pPr>
          </w:p>
        </w:tc>
        <w:tc>
          <w:tcPr>
            <w:tcW w:w="3764" w:type="dxa"/>
          </w:tcPr>
          <w:p w14:paraId="52BFD066" w14:textId="77777777" w:rsidR="006D724E" w:rsidRPr="00A65AF3" w:rsidRDefault="009F37FD">
            <w:pPr>
              <w:pStyle w:val="TableParagraph"/>
              <w:ind w:right="105"/>
            </w:pPr>
            <w:r w:rsidRPr="00A65AF3">
              <w:t>Framing – structural replacement programme.</w:t>
            </w:r>
          </w:p>
        </w:tc>
        <w:tc>
          <w:tcPr>
            <w:tcW w:w="3944" w:type="dxa"/>
          </w:tcPr>
          <w:p w14:paraId="52BFD067" w14:textId="77777777" w:rsidR="006D724E" w:rsidRPr="00A65AF3" w:rsidRDefault="009F37FD">
            <w:pPr>
              <w:pStyle w:val="TableParagraph"/>
              <w:ind w:right="378"/>
            </w:pPr>
            <w:r w:rsidRPr="00A65AF3">
              <w:t>Repair/replacement of individual windows. Repainting frames.</w:t>
            </w:r>
          </w:p>
        </w:tc>
      </w:tr>
      <w:tr w:rsidR="000A73BC" w14:paraId="52BFD06C" w14:textId="77777777" w:rsidTr="00540F3B">
        <w:trPr>
          <w:trHeight w:val="395"/>
        </w:trPr>
        <w:tc>
          <w:tcPr>
            <w:tcW w:w="2151" w:type="dxa"/>
          </w:tcPr>
          <w:p w14:paraId="52BFD069" w14:textId="77777777" w:rsidR="006D724E" w:rsidRPr="00A65AF3" w:rsidRDefault="006D724E">
            <w:pPr>
              <w:pStyle w:val="TableParagraph"/>
              <w:ind w:left="0"/>
            </w:pPr>
          </w:p>
        </w:tc>
        <w:tc>
          <w:tcPr>
            <w:tcW w:w="3764" w:type="dxa"/>
          </w:tcPr>
          <w:p w14:paraId="52BFD06A" w14:textId="77777777" w:rsidR="006D724E" w:rsidRPr="00A65AF3" w:rsidRDefault="009F37FD">
            <w:pPr>
              <w:pStyle w:val="TableParagraph"/>
              <w:spacing w:line="267" w:lineRule="exact"/>
            </w:pPr>
            <w:r w:rsidRPr="00A65AF3">
              <w:t>Glazing – new build.</w:t>
            </w:r>
          </w:p>
        </w:tc>
        <w:tc>
          <w:tcPr>
            <w:tcW w:w="3944" w:type="dxa"/>
          </w:tcPr>
          <w:p w14:paraId="52BFD06B" w14:textId="77777777" w:rsidR="006D724E" w:rsidRPr="00A65AF3" w:rsidRDefault="009F37FD">
            <w:pPr>
              <w:pStyle w:val="TableParagraph"/>
              <w:spacing w:line="267" w:lineRule="exact"/>
            </w:pPr>
            <w:r w:rsidRPr="00A65AF3">
              <w:t>Replacing broken glass.</w:t>
            </w:r>
          </w:p>
        </w:tc>
      </w:tr>
      <w:tr w:rsidR="000A73BC" w14:paraId="52BFD071" w14:textId="77777777" w:rsidTr="00540F3B">
        <w:trPr>
          <w:trHeight w:val="791"/>
        </w:trPr>
        <w:tc>
          <w:tcPr>
            <w:tcW w:w="2151" w:type="dxa"/>
          </w:tcPr>
          <w:p w14:paraId="52BFD06D" w14:textId="77777777" w:rsidR="006D724E" w:rsidRPr="00A65AF3" w:rsidRDefault="006D724E">
            <w:pPr>
              <w:pStyle w:val="TableParagraph"/>
              <w:ind w:left="0"/>
            </w:pPr>
          </w:p>
        </w:tc>
        <w:tc>
          <w:tcPr>
            <w:tcW w:w="3764" w:type="dxa"/>
          </w:tcPr>
          <w:p w14:paraId="52BFD06E" w14:textId="77777777" w:rsidR="006D724E" w:rsidRPr="00A65AF3" w:rsidRDefault="009F37FD">
            <w:pPr>
              <w:pStyle w:val="TableParagraph"/>
              <w:spacing w:line="267" w:lineRule="exact"/>
            </w:pPr>
            <w:r w:rsidRPr="00A65AF3">
              <w:t>Glazing.</w:t>
            </w:r>
          </w:p>
          <w:p w14:paraId="52BFD06F" w14:textId="77777777" w:rsidR="006D724E" w:rsidRPr="00A65AF3" w:rsidRDefault="009F37FD">
            <w:pPr>
              <w:pStyle w:val="TableParagraph"/>
              <w:spacing w:before="120"/>
            </w:pPr>
            <w:r w:rsidRPr="00A65AF3">
              <w:t>Upgrading existing glazing.</w:t>
            </w:r>
          </w:p>
        </w:tc>
        <w:tc>
          <w:tcPr>
            <w:tcW w:w="3944" w:type="dxa"/>
          </w:tcPr>
          <w:p w14:paraId="52BFD070" w14:textId="77777777" w:rsidR="006D724E" w:rsidRPr="00A65AF3" w:rsidRDefault="006D724E">
            <w:pPr>
              <w:pStyle w:val="TableParagraph"/>
              <w:ind w:left="0"/>
            </w:pPr>
          </w:p>
        </w:tc>
      </w:tr>
      <w:tr w:rsidR="000A73BC" w14:paraId="52BFD076" w14:textId="77777777" w:rsidTr="00540F3B">
        <w:trPr>
          <w:trHeight w:val="792"/>
        </w:trPr>
        <w:tc>
          <w:tcPr>
            <w:tcW w:w="2151" w:type="dxa"/>
          </w:tcPr>
          <w:p w14:paraId="52BFD072" w14:textId="77777777" w:rsidR="006D724E" w:rsidRPr="00A65AF3" w:rsidRDefault="006D724E">
            <w:pPr>
              <w:pStyle w:val="TableParagraph"/>
              <w:ind w:left="0"/>
            </w:pPr>
          </w:p>
        </w:tc>
        <w:tc>
          <w:tcPr>
            <w:tcW w:w="3764" w:type="dxa"/>
          </w:tcPr>
          <w:p w14:paraId="52BFD073" w14:textId="77777777" w:rsidR="006D724E" w:rsidRPr="00A65AF3" w:rsidRDefault="009F37FD">
            <w:pPr>
              <w:pStyle w:val="TableParagraph"/>
              <w:spacing w:line="267" w:lineRule="exact"/>
            </w:pPr>
            <w:r w:rsidRPr="00A65AF3">
              <w:t>Ironmongery.</w:t>
            </w:r>
          </w:p>
          <w:p w14:paraId="52BFD074" w14:textId="77777777" w:rsidR="006D724E" w:rsidRPr="00A65AF3" w:rsidRDefault="009F37FD">
            <w:pPr>
              <w:pStyle w:val="TableParagraph"/>
              <w:spacing w:before="120"/>
            </w:pPr>
            <w:r w:rsidRPr="00A65AF3">
              <w:t>Improved security.</w:t>
            </w:r>
          </w:p>
        </w:tc>
        <w:tc>
          <w:tcPr>
            <w:tcW w:w="3944" w:type="dxa"/>
          </w:tcPr>
          <w:p w14:paraId="52BFD075" w14:textId="77777777" w:rsidR="006D724E" w:rsidRPr="00A65AF3" w:rsidRDefault="009F37FD">
            <w:pPr>
              <w:pStyle w:val="TableParagraph"/>
              <w:ind w:right="511"/>
            </w:pPr>
            <w:r w:rsidRPr="00A65AF3">
              <w:t>Repair/replacement, upgrading locks etc.</w:t>
            </w:r>
          </w:p>
        </w:tc>
      </w:tr>
      <w:tr w:rsidR="000A73BC" w14:paraId="52BFD07A" w14:textId="77777777" w:rsidTr="00540F3B">
        <w:trPr>
          <w:trHeight w:val="397"/>
        </w:trPr>
        <w:tc>
          <w:tcPr>
            <w:tcW w:w="2151" w:type="dxa"/>
          </w:tcPr>
          <w:p w14:paraId="52BFD077" w14:textId="77777777" w:rsidR="006D724E" w:rsidRPr="00A65AF3" w:rsidRDefault="006D724E">
            <w:pPr>
              <w:pStyle w:val="TableParagraph"/>
              <w:ind w:left="0"/>
            </w:pPr>
          </w:p>
        </w:tc>
        <w:tc>
          <w:tcPr>
            <w:tcW w:w="3764" w:type="dxa"/>
          </w:tcPr>
          <w:p w14:paraId="52BFD078" w14:textId="77777777" w:rsidR="006D724E" w:rsidRPr="00A65AF3" w:rsidRDefault="009F37FD">
            <w:pPr>
              <w:pStyle w:val="TableParagraph"/>
              <w:spacing w:line="270" w:lineRule="exact"/>
            </w:pPr>
            <w:r w:rsidRPr="00A65AF3">
              <w:t>Jointing including mastic joints.</w:t>
            </w:r>
          </w:p>
        </w:tc>
        <w:tc>
          <w:tcPr>
            <w:tcW w:w="3944" w:type="dxa"/>
          </w:tcPr>
          <w:p w14:paraId="52BFD079" w14:textId="77777777" w:rsidR="006D724E" w:rsidRPr="00A65AF3" w:rsidRDefault="006D724E">
            <w:pPr>
              <w:pStyle w:val="TableParagraph"/>
              <w:ind w:left="0"/>
            </w:pPr>
          </w:p>
        </w:tc>
      </w:tr>
      <w:tr w:rsidR="000A73BC" w14:paraId="52BFD07E" w14:textId="77777777" w:rsidTr="00540F3B">
        <w:trPr>
          <w:trHeight w:val="947"/>
        </w:trPr>
        <w:tc>
          <w:tcPr>
            <w:tcW w:w="2151" w:type="dxa"/>
          </w:tcPr>
          <w:p w14:paraId="52BFD07B" w14:textId="77777777" w:rsidR="006D724E" w:rsidRPr="00A65AF3" w:rsidRDefault="006D724E">
            <w:pPr>
              <w:pStyle w:val="TableParagraph"/>
              <w:ind w:left="0"/>
            </w:pPr>
          </w:p>
        </w:tc>
        <w:tc>
          <w:tcPr>
            <w:tcW w:w="3764" w:type="dxa"/>
          </w:tcPr>
          <w:p w14:paraId="52BFD07C" w14:textId="77777777" w:rsidR="006D724E" w:rsidRPr="00A65AF3" w:rsidRDefault="009F37FD">
            <w:pPr>
              <w:pStyle w:val="TableParagraph"/>
              <w:ind w:right="131"/>
            </w:pPr>
            <w:r w:rsidRPr="00A65AF3">
              <w:t>Internal and external decorations to new build</w:t>
            </w:r>
          </w:p>
        </w:tc>
        <w:tc>
          <w:tcPr>
            <w:tcW w:w="3944" w:type="dxa"/>
          </w:tcPr>
          <w:p w14:paraId="52BFD07D" w14:textId="77777777" w:rsidR="006D724E" w:rsidRPr="00A65AF3" w:rsidRDefault="009F37FD">
            <w:pPr>
              <w:pStyle w:val="TableParagraph"/>
              <w:ind w:right="164"/>
            </w:pPr>
            <w:r w:rsidRPr="00A65AF3">
              <w:t>Internal and external decoration to include cleaning down and preparation.</w:t>
            </w:r>
          </w:p>
        </w:tc>
      </w:tr>
      <w:tr w:rsidR="000A73BC" w14:paraId="52BFD082" w14:textId="77777777" w:rsidTr="00540F3B">
        <w:trPr>
          <w:trHeight w:val="671"/>
        </w:trPr>
        <w:tc>
          <w:tcPr>
            <w:tcW w:w="2151" w:type="dxa"/>
          </w:tcPr>
          <w:p w14:paraId="52BFD07F" w14:textId="77777777" w:rsidR="006D724E" w:rsidRPr="00A65AF3" w:rsidRDefault="009F37FD">
            <w:pPr>
              <w:pStyle w:val="TableParagraph"/>
              <w:ind w:right="947"/>
            </w:pPr>
            <w:r w:rsidRPr="00A65AF3">
              <w:t>Masonry Chimneys</w:t>
            </w:r>
          </w:p>
        </w:tc>
        <w:tc>
          <w:tcPr>
            <w:tcW w:w="3764" w:type="dxa"/>
          </w:tcPr>
          <w:p w14:paraId="52BFD080" w14:textId="77777777" w:rsidR="006D724E" w:rsidRPr="00A65AF3" w:rsidRDefault="009F37FD">
            <w:pPr>
              <w:pStyle w:val="TableParagraph"/>
              <w:spacing w:line="267" w:lineRule="exact"/>
            </w:pPr>
            <w:r w:rsidRPr="00A65AF3">
              <w:t>Structure</w:t>
            </w:r>
          </w:p>
        </w:tc>
        <w:tc>
          <w:tcPr>
            <w:tcW w:w="3944" w:type="dxa"/>
          </w:tcPr>
          <w:p w14:paraId="52BFD081" w14:textId="77777777" w:rsidR="006D724E" w:rsidRPr="00A65AF3" w:rsidRDefault="006D724E">
            <w:pPr>
              <w:pStyle w:val="TableParagraph"/>
              <w:ind w:left="0"/>
            </w:pPr>
          </w:p>
        </w:tc>
      </w:tr>
      <w:tr w:rsidR="000A73BC" w14:paraId="52BFD086" w14:textId="77777777" w:rsidTr="00540F3B">
        <w:trPr>
          <w:trHeight w:val="669"/>
        </w:trPr>
        <w:tc>
          <w:tcPr>
            <w:tcW w:w="2151" w:type="dxa"/>
            <w:tcBorders>
              <w:bottom w:val="single" w:sz="6" w:space="0" w:color="000000"/>
            </w:tcBorders>
          </w:tcPr>
          <w:p w14:paraId="52BFD083" w14:textId="77777777" w:rsidR="006D724E" w:rsidRPr="00A65AF3" w:rsidRDefault="006D724E">
            <w:pPr>
              <w:pStyle w:val="TableParagraph"/>
              <w:ind w:left="0"/>
            </w:pPr>
          </w:p>
        </w:tc>
        <w:tc>
          <w:tcPr>
            <w:tcW w:w="3764" w:type="dxa"/>
            <w:tcBorders>
              <w:bottom w:val="single" w:sz="6" w:space="0" w:color="000000"/>
            </w:tcBorders>
          </w:tcPr>
          <w:p w14:paraId="52BFD084" w14:textId="77777777" w:rsidR="006D724E" w:rsidRPr="00A65AF3" w:rsidRDefault="009F37FD">
            <w:pPr>
              <w:pStyle w:val="TableParagraph"/>
              <w:ind w:right="157"/>
            </w:pPr>
            <w:r w:rsidRPr="00A65AF3">
              <w:t>Jointing including expansion and mortar joints/ pointing/ DPC.</w:t>
            </w:r>
          </w:p>
        </w:tc>
        <w:tc>
          <w:tcPr>
            <w:tcW w:w="3944" w:type="dxa"/>
            <w:tcBorders>
              <w:bottom w:val="single" w:sz="6" w:space="0" w:color="000000"/>
            </w:tcBorders>
          </w:tcPr>
          <w:p w14:paraId="52BFD085" w14:textId="77777777" w:rsidR="006D724E" w:rsidRPr="00A65AF3" w:rsidRDefault="009F37FD">
            <w:pPr>
              <w:pStyle w:val="TableParagraph"/>
              <w:spacing w:line="267" w:lineRule="exact"/>
            </w:pPr>
            <w:r w:rsidRPr="00A65AF3">
              <w:t>Repair/re-pointing.</w:t>
            </w:r>
          </w:p>
        </w:tc>
      </w:tr>
      <w:tr w:rsidR="000A73BC" w14:paraId="52BFD08A" w14:textId="77777777" w:rsidTr="00540F3B">
        <w:trPr>
          <w:trHeight w:val="393"/>
        </w:trPr>
        <w:tc>
          <w:tcPr>
            <w:tcW w:w="2151" w:type="dxa"/>
            <w:tcBorders>
              <w:top w:val="single" w:sz="6" w:space="0" w:color="000000"/>
            </w:tcBorders>
          </w:tcPr>
          <w:p w14:paraId="52BFD087" w14:textId="77777777" w:rsidR="006D724E" w:rsidRPr="00A65AF3" w:rsidRDefault="009F37FD">
            <w:pPr>
              <w:pStyle w:val="TableParagraph"/>
              <w:spacing w:line="265" w:lineRule="exact"/>
            </w:pPr>
            <w:r w:rsidRPr="00A65AF3">
              <w:t>Internal Walls</w:t>
            </w:r>
          </w:p>
        </w:tc>
        <w:tc>
          <w:tcPr>
            <w:tcW w:w="3764" w:type="dxa"/>
            <w:tcBorders>
              <w:top w:val="single" w:sz="6" w:space="0" w:color="000000"/>
            </w:tcBorders>
          </w:tcPr>
          <w:p w14:paraId="52BFD088" w14:textId="77777777" w:rsidR="006D724E" w:rsidRPr="00A65AF3" w:rsidRDefault="006D724E">
            <w:pPr>
              <w:pStyle w:val="TableParagraph"/>
              <w:ind w:left="0"/>
            </w:pPr>
          </w:p>
        </w:tc>
        <w:tc>
          <w:tcPr>
            <w:tcW w:w="3944" w:type="dxa"/>
            <w:tcBorders>
              <w:top w:val="single" w:sz="6" w:space="0" w:color="000000"/>
            </w:tcBorders>
          </w:tcPr>
          <w:p w14:paraId="52BFD089" w14:textId="77777777" w:rsidR="006D724E" w:rsidRPr="00A65AF3" w:rsidRDefault="006D724E">
            <w:pPr>
              <w:pStyle w:val="TableParagraph"/>
              <w:ind w:left="0"/>
            </w:pPr>
          </w:p>
        </w:tc>
      </w:tr>
      <w:tr w:rsidR="000A73BC" w14:paraId="52BFD08E" w14:textId="77777777" w:rsidTr="00540F3B">
        <w:trPr>
          <w:trHeight w:val="947"/>
        </w:trPr>
        <w:tc>
          <w:tcPr>
            <w:tcW w:w="2151" w:type="dxa"/>
          </w:tcPr>
          <w:p w14:paraId="52BFD08B" w14:textId="77777777" w:rsidR="006D724E" w:rsidRPr="00A65AF3" w:rsidRDefault="009F37FD">
            <w:pPr>
              <w:pStyle w:val="TableParagraph"/>
              <w:spacing w:line="267" w:lineRule="exact"/>
            </w:pPr>
            <w:r w:rsidRPr="00A65AF3">
              <w:t>Solid</w:t>
            </w:r>
          </w:p>
        </w:tc>
        <w:tc>
          <w:tcPr>
            <w:tcW w:w="3764" w:type="dxa"/>
          </w:tcPr>
          <w:p w14:paraId="52BFD08C" w14:textId="77777777" w:rsidR="006D724E" w:rsidRPr="00A65AF3" w:rsidRDefault="009F37FD">
            <w:pPr>
              <w:pStyle w:val="TableParagraph"/>
              <w:ind w:right="695"/>
              <w:jc w:val="both"/>
            </w:pPr>
            <w:r w:rsidRPr="00A65AF3">
              <w:t>Complete including various internal finishes, linings and decorations.</w:t>
            </w:r>
          </w:p>
        </w:tc>
        <w:tc>
          <w:tcPr>
            <w:tcW w:w="3944" w:type="dxa"/>
          </w:tcPr>
          <w:p w14:paraId="52BFD08D" w14:textId="77777777" w:rsidR="006D724E" w:rsidRPr="00A65AF3" w:rsidRDefault="009F37FD">
            <w:pPr>
              <w:pStyle w:val="TableParagraph"/>
              <w:ind w:right="471"/>
            </w:pPr>
            <w:r w:rsidRPr="00A65AF3">
              <w:t>Repairs and redecoration to internal plaster/linings, tiles, pin boards etc.</w:t>
            </w:r>
          </w:p>
        </w:tc>
      </w:tr>
      <w:tr w:rsidR="000A73BC" w14:paraId="52BFD092" w14:textId="77777777" w:rsidTr="00540F3B">
        <w:trPr>
          <w:trHeight w:val="395"/>
        </w:trPr>
        <w:tc>
          <w:tcPr>
            <w:tcW w:w="2151" w:type="dxa"/>
          </w:tcPr>
          <w:p w14:paraId="52BFD08F" w14:textId="77777777" w:rsidR="006D724E" w:rsidRPr="00A65AF3" w:rsidRDefault="006D724E">
            <w:pPr>
              <w:pStyle w:val="TableParagraph"/>
              <w:ind w:left="0"/>
            </w:pPr>
          </w:p>
        </w:tc>
        <w:tc>
          <w:tcPr>
            <w:tcW w:w="3764" w:type="dxa"/>
          </w:tcPr>
          <w:p w14:paraId="52BFD090" w14:textId="77777777" w:rsidR="006D724E" w:rsidRPr="00A65AF3" w:rsidRDefault="009F37FD">
            <w:pPr>
              <w:pStyle w:val="TableParagraph"/>
              <w:spacing w:line="267" w:lineRule="exact"/>
            </w:pPr>
            <w:r w:rsidRPr="00A65AF3">
              <w:t>Refurbishment and alterations.</w:t>
            </w:r>
          </w:p>
        </w:tc>
        <w:tc>
          <w:tcPr>
            <w:tcW w:w="3944" w:type="dxa"/>
          </w:tcPr>
          <w:p w14:paraId="52BFD091" w14:textId="77777777" w:rsidR="006D724E" w:rsidRPr="00A65AF3" w:rsidRDefault="009F37FD">
            <w:pPr>
              <w:pStyle w:val="TableParagraph"/>
              <w:spacing w:line="267" w:lineRule="exact"/>
            </w:pPr>
            <w:r w:rsidRPr="00A65AF3">
              <w:t>Minor alterations.</w:t>
            </w:r>
          </w:p>
        </w:tc>
      </w:tr>
      <w:tr w:rsidR="000A73BC" w14:paraId="52BFD096" w14:textId="77777777" w:rsidTr="00540F3B">
        <w:trPr>
          <w:trHeight w:val="949"/>
        </w:trPr>
        <w:tc>
          <w:tcPr>
            <w:tcW w:w="2151" w:type="dxa"/>
          </w:tcPr>
          <w:p w14:paraId="52BFD093" w14:textId="77777777" w:rsidR="006D724E" w:rsidRPr="00A65AF3" w:rsidRDefault="009F37FD">
            <w:pPr>
              <w:pStyle w:val="TableParagraph"/>
              <w:spacing w:line="270" w:lineRule="exact"/>
            </w:pPr>
            <w:r w:rsidRPr="00A65AF3">
              <w:t>Partitions</w:t>
            </w:r>
          </w:p>
        </w:tc>
        <w:tc>
          <w:tcPr>
            <w:tcW w:w="3764" w:type="dxa"/>
          </w:tcPr>
          <w:p w14:paraId="52BFD094" w14:textId="77777777" w:rsidR="006D724E" w:rsidRPr="00A65AF3" w:rsidRDefault="009F37FD">
            <w:pPr>
              <w:pStyle w:val="TableParagraph"/>
              <w:ind w:right="585"/>
            </w:pPr>
            <w:r w:rsidRPr="00A65AF3">
              <w:t>Complete structure including linings, framing, glazing, decoration etc.</w:t>
            </w:r>
          </w:p>
        </w:tc>
        <w:tc>
          <w:tcPr>
            <w:tcW w:w="3944" w:type="dxa"/>
          </w:tcPr>
          <w:p w14:paraId="52BFD095" w14:textId="77777777" w:rsidR="006D724E" w:rsidRPr="00A65AF3" w:rsidRDefault="009F37FD">
            <w:pPr>
              <w:pStyle w:val="TableParagraph"/>
              <w:spacing w:line="270" w:lineRule="exact"/>
            </w:pPr>
            <w:r w:rsidRPr="00A65AF3">
              <w:t>Repairs and redecoration.</w:t>
            </w:r>
          </w:p>
        </w:tc>
      </w:tr>
      <w:tr w:rsidR="000A73BC" w14:paraId="52BFD09A" w14:textId="77777777" w:rsidTr="00540F3B">
        <w:trPr>
          <w:trHeight w:val="395"/>
        </w:trPr>
        <w:tc>
          <w:tcPr>
            <w:tcW w:w="2151" w:type="dxa"/>
          </w:tcPr>
          <w:p w14:paraId="52BFD097" w14:textId="77777777" w:rsidR="006D724E" w:rsidRPr="00A65AF3" w:rsidRDefault="006D724E">
            <w:pPr>
              <w:pStyle w:val="TableParagraph"/>
              <w:ind w:left="0"/>
            </w:pPr>
          </w:p>
        </w:tc>
        <w:tc>
          <w:tcPr>
            <w:tcW w:w="3764" w:type="dxa"/>
          </w:tcPr>
          <w:p w14:paraId="52BFD098" w14:textId="77777777" w:rsidR="006D724E" w:rsidRPr="00A65AF3" w:rsidRDefault="009F37FD">
            <w:pPr>
              <w:pStyle w:val="TableParagraph"/>
              <w:spacing w:line="267" w:lineRule="exact"/>
            </w:pPr>
            <w:r w:rsidRPr="00A65AF3">
              <w:t>Refurbishment and alterations.</w:t>
            </w:r>
          </w:p>
        </w:tc>
        <w:tc>
          <w:tcPr>
            <w:tcW w:w="3944" w:type="dxa"/>
          </w:tcPr>
          <w:p w14:paraId="52BFD099" w14:textId="77777777" w:rsidR="006D724E" w:rsidRPr="00A65AF3" w:rsidRDefault="009F37FD">
            <w:pPr>
              <w:pStyle w:val="TableParagraph"/>
              <w:spacing w:line="267" w:lineRule="exact"/>
            </w:pPr>
            <w:r w:rsidRPr="00A65AF3">
              <w:t>Minor alterations.</w:t>
            </w:r>
          </w:p>
        </w:tc>
      </w:tr>
      <w:tr w:rsidR="000A73BC" w14:paraId="52BFD09E" w14:textId="77777777" w:rsidTr="00540F3B">
        <w:trPr>
          <w:trHeight w:val="1224"/>
        </w:trPr>
        <w:tc>
          <w:tcPr>
            <w:tcW w:w="2151" w:type="dxa"/>
          </w:tcPr>
          <w:p w14:paraId="52BFD09B" w14:textId="77777777" w:rsidR="006D724E" w:rsidRPr="00A65AF3" w:rsidRDefault="009F37FD">
            <w:pPr>
              <w:pStyle w:val="TableParagraph"/>
              <w:ind w:right="906"/>
            </w:pPr>
            <w:r w:rsidRPr="00A65AF3">
              <w:t>Doors and Screens</w:t>
            </w:r>
          </w:p>
        </w:tc>
        <w:tc>
          <w:tcPr>
            <w:tcW w:w="3764" w:type="dxa"/>
          </w:tcPr>
          <w:p w14:paraId="52BFD09C" w14:textId="77777777" w:rsidR="006D724E" w:rsidRPr="00A65AF3" w:rsidRDefault="009F37FD">
            <w:pPr>
              <w:pStyle w:val="TableParagraph"/>
              <w:ind w:right="319"/>
            </w:pPr>
            <w:r w:rsidRPr="00A65AF3">
              <w:t>Framing/Screens/Doors to new buildings, including glazing, ironmongery, jointing and internal decorations.</w:t>
            </w:r>
          </w:p>
        </w:tc>
        <w:tc>
          <w:tcPr>
            <w:tcW w:w="3944" w:type="dxa"/>
          </w:tcPr>
          <w:p w14:paraId="52BFD09D" w14:textId="77777777" w:rsidR="006D724E" w:rsidRPr="00A65AF3" w:rsidRDefault="009F37FD">
            <w:pPr>
              <w:pStyle w:val="TableParagraph"/>
              <w:ind w:right="125"/>
            </w:pPr>
            <w:r w:rsidRPr="00A65AF3">
              <w:t>Internal maintenance and redecoration. Repair/ replacement of defective doors and screens.</w:t>
            </w:r>
          </w:p>
        </w:tc>
      </w:tr>
      <w:tr w:rsidR="000A73BC" w14:paraId="52BFD0A2" w14:textId="77777777" w:rsidTr="00540F3B">
        <w:trPr>
          <w:trHeight w:val="671"/>
        </w:trPr>
        <w:tc>
          <w:tcPr>
            <w:tcW w:w="2151" w:type="dxa"/>
          </w:tcPr>
          <w:p w14:paraId="52BFD09F" w14:textId="77777777" w:rsidR="006D724E" w:rsidRPr="00A65AF3" w:rsidRDefault="009F37FD">
            <w:pPr>
              <w:pStyle w:val="TableParagraph"/>
              <w:spacing w:line="267" w:lineRule="exact"/>
            </w:pPr>
            <w:r w:rsidRPr="00A65AF3">
              <w:t>All</w:t>
            </w:r>
          </w:p>
        </w:tc>
        <w:tc>
          <w:tcPr>
            <w:tcW w:w="3764" w:type="dxa"/>
          </w:tcPr>
          <w:p w14:paraId="52BFD0A0" w14:textId="77777777" w:rsidR="006D724E" w:rsidRPr="00A65AF3" w:rsidRDefault="009F37FD">
            <w:pPr>
              <w:pStyle w:val="TableParagraph"/>
              <w:ind w:right="198"/>
            </w:pPr>
            <w:r w:rsidRPr="00A65AF3">
              <w:t>Glazing to meet statutory Health and Safety requirements.</w:t>
            </w:r>
          </w:p>
        </w:tc>
        <w:tc>
          <w:tcPr>
            <w:tcW w:w="3944" w:type="dxa"/>
          </w:tcPr>
          <w:p w14:paraId="52BFD0A1" w14:textId="77777777" w:rsidR="006D724E" w:rsidRPr="00A65AF3" w:rsidRDefault="009F37FD">
            <w:pPr>
              <w:pStyle w:val="TableParagraph"/>
              <w:spacing w:line="267" w:lineRule="exact"/>
            </w:pPr>
            <w:r w:rsidRPr="00A65AF3">
              <w:t>Replacement of broken glass.</w:t>
            </w:r>
          </w:p>
        </w:tc>
      </w:tr>
      <w:tr w:rsidR="000A73BC" w14:paraId="52BFD0A6" w14:textId="77777777" w:rsidTr="00540F3B">
        <w:trPr>
          <w:trHeight w:val="671"/>
        </w:trPr>
        <w:tc>
          <w:tcPr>
            <w:tcW w:w="2151" w:type="dxa"/>
            <w:shd w:val="clear" w:color="auto" w:fill="D9D9D9" w:themeFill="background1" w:themeFillShade="D9"/>
          </w:tcPr>
          <w:p w14:paraId="52BFD0A3" w14:textId="77777777" w:rsidR="006D724E" w:rsidRPr="00A65AF3" w:rsidRDefault="009F37FD">
            <w:pPr>
              <w:pStyle w:val="TableParagraph"/>
              <w:ind w:right="1026"/>
              <w:rPr>
                <w:b/>
              </w:rPr>
            </w:pPr>
            <w:r w:rsidRPr="00A65AF3">
              <w:rPr>
                <w:b/>
              </w:rPr>
              <w:lastRenderedPageBreak/>
              <w:t>Sanitary Services</w:t>
            </w:r>
          </w:p>
        </w:tc>
        <w:tc>
          <w:tcPr>
            <w:tcW w:w="3764" w:type="dxa"/>
            <w:shd w:val="clear" w:color="auto" w:fill="D9D9D9" w:themeFill="background1" w:themeFillShade="D9"/>
          </w:tcPr>
          <w:p w14:paraId="52BFD0A4" w14:textId="77777777" w:rsidR="006D724E" w:rsidRPr="00A65AF3" w:rsidRDefault="006D724E">
            <w:pPr>
              <w:pStyle w:val="TableParagraph"/>
              <w:ind w:left="0"/>
            </w:pPr>
          </w:p>
        </w:tc>
        <w:tc>
          <w:tcPr>
            <w:tcW w:w="3944" w:type="dxa"/>
            <w:shd w:val="clear" w:color="auto" w:fill="D9D9D9" w:themeFill="background1" w:themeFillShade="D9"/>
          </w:tcPr>
          <w:p w14:paraId="52BFD0A5" w14:textId="77777777" w:rsidR="006D724E" w:rsidRPr="00A65AF3" w:rsidRDefault="006D724E">
            <w:pPr>
              <w:pStyle w:val="TableParagraph"/>
              <w:ind w:left="0"/>
            </w:pPr>
          </w:p>
        </w:tc>
      </w:tr>
      <w:tr w:rsidR="000A73BC" w14:paraId="52BFD0AA" w14:textId="77777777" w:rsidTr="00540F3B">
        <w:trPr>
          <w:trHeight w:val="948"/>
        </w:trPr>
        <w:tc>
          <w:tcPr>
            <w:tcW w:w="2151" w:type="dxa"/>
          </w:tcPr>
          <w:p w14:paraId="52BFD0A7" w14:textId="77777777" w:rsidR="006D724E" w:rsidRPr="00A65AF3" w:rsidRDefault="009F37FD">
            <w:pPr>
              <w:pStyle w:val="TableParagraph"/>
              <w:spacing w:line="267" w:lineRule="exact"/>
            </w:pPr>
            <w:r w:rsidRPr="00A65AF3">
              <w:t>Lavatories</w:t>
            </w:r>
          </w:p>
        </w:tc>
        <w:tc>
          <w:tcPr>
            <w:tcW w:w="3764" w:type="dxa"/>
          </w:tcPr>
          <w:p w14:paraId="52BFD0A8" w14:textId="77777777" w:rsidR="006D724E" w:rsidRPr="00A65AF3" w:rsidRDefault="009F37FD">
            <w:pPr>
              <w:pStyle w:val="TableParagraph"/>
              <w:ind w:right="91"/>
            </w:pPr>
            <w:r w:rsidRPr="00A65AF3">
              <w:t>In new buildings, provision of all toilet fittings, waste plumbing and internal drainage.</w:t>
            </w:r>
          </w:p>
        </w:tc>
        <w:tc>
          <w:tcPr>
            <w:tcW w:w="3944" w:type="dxa"/>
          </w:tcPr>
          <w:p w14:paraId="52BFD0A9" w14:textId="77777777" w:rsidR="006D724E" w:rsidRPr="00A65AF3" w:rsidRDefault="009F37FD">
            <w:pPr>
              <w:pStyle w:val="TableParagraph"/>
              <w:ind w:right="378"/>
            </w:pPr>
            <w:r w:rsidRPr="00A65AF3">
              <w:t>Repair/replacement of damaged sanitary ware, fittings, waste plumbing etc.</w:t>
            </w:r>
          </w:p>
        </w:tc>
      </w:tr>
      <w:tr w:rsidR="000A73BC" w14:paraId="52BFD0AE" w14:textId="77777777" w:rsidTr="00540F3B">
        <w:trPr>
          <w:trHeight w:val="397"/>
        </w:trPr>
        <w:tc>
          <w:tcPr>
            <w:tcW w:w="2151" w:type="dxa"/>
          </w:tcPr>
          <w:p w14:paraId="52BFD0AB" w14:textId="77777777" w:rsidR="006D724E" w:rsidRPr="00A65AF3" w:rsidRDefault="006D724E">
            <w:pPr>
              <w:pStyle w:val="TableParagraph"/>
              <w:ind w:left="0"/>
            </w:pPr>
          </w:p>
        </w:tc>
        <w:tc>
          <w:tcPr>
            <w:tcW w:w="3764" w:type="dxa"/>
          </w:tcPr>
          <w:p w14:paraId="52BFD0AC" w14:textId="77777777" w:rsidR="006D724E" w:rsidRPr="00A65AF3" w:rsidRDefault="009F37FD">
            <w:pPr>
              <w:pStyle w:val="TableParagraph"/>
              <w:spacing w:line="267" w:lineRule="exact"/>
            </w:pPr>
            <w:r w:rsidRPr="00A65AF3">
              <w:t>Large-scale toilet refurbishment.</w:t>
            </w:r>
          </w:p>
        </w:tc>
        <w:tc>
          <w:tcPr>
            <w:tcW w:w="3944" w:type="dxa"/>
          </w:tcPr>
          <w:p w14:paraId="52BFD0AD" w14:textId="77777777" w:rsidR="006D724E" w:rsidRPr="00A65AF3" w:rsidRDefault="009F37FD">
            <w:pPr>
              <w:pStyle w:val="TableParagraph"/>
              <w:spacing w:line="267" w:lineRule="exact"/>
            </w:pPr>
            <w:r w:rsidRPr="00A65AF3">
              <w:t>Small areas of refurbishment.</w:t>
            </w:r>
          </w:p>
        </w:tc>
      </w:tr>
      <w:tr w:rsidR="000A73BC" w14:paraId="52BFD0B6" w14:textId="77777777" w:rsidTr="00540F3B">
        <w:trPr>
          <w:trHeight w:val="885"/>
        </w:trPr>
        <w:tc>
          <w:tcPr>
            <w:tcW w:w="2151" w:type="dxa"/>
          </w:tcPr>
          <w:p w14:paraId="52BFD0B3" w14:textId="03613B16" w:rsidR="006D724E" w:rsidRPr="00A65AF3" w:rsidRDefault="00540F3B">
            <w:pPr>
              <w:pStyle w:val="TableParagraph"/>
              <w:spacing w:line="314" w:lineRule="exact"/>
              <w:rPr>
                <w:b/>
              </w:rPr>
            </w:pPr>
            <w:r>
              <w:rPr>
                <w:b/>
              </w:rPr>
              <w:t>E</w:t>
            </w:r>
            <w:r w:rsidR="009F37FD" w:rsidRPr="00A65AF3">
              <w:rPr>
                <w:b/>
              </w:rPr>
              <w:t>lement</w:t>
            </w:r>
          </w:p>
        </w:tc>
        <w:tc>
          <w:tcPr>
            <w:tcW w:w="3764" w:type="dxa"/>
          </w:tcPr>
          <w:p w14:paraId="52BFD0B4" w14:textId="77777777" w:rsidR="006D724E" w:rsidRPr="00A65AF3" w:rsidRDefault="009F37FD">
            <w:pPr>
              <w:pStyle w:val="TableParagraph"/>
              <w:ind w:right="173"/>
              <w:rPr>
                <w:b/>
              </w:rPr>
            </w:pPr>
            <w:r w:rsidRPr="00A65AF3">
              <w:rPr>
                <w:b/>
              </w:rPr>
              <w:t>Capital: as CIPFA Code of Practice</w:t>
            </w:r>
          </w:p>
        </w:tc>
        <w:tc>
          <w:tcPr>
            <w:tcW w:w="3944" w:type="dxa"/>
          </w:tcPr>
          <w:p w14:paraId="52BFD0B5" w14:textId="77777777" w:rsidR="006D724E" w:rsidRPr="00A65AF3" w:rsidRDefault="009F37FD">
            <w:pPr>
              <w:pStyle w:val="TableParagraph"/>
              <w:ind w:right="959"/>
              <w:rPr>
                <w:b/>
              </w:rPr>
            </w:pPr>
            <w:r w:rsidRPr="00A65AF3">
              <w:rPr>
                <w:b/>
              </w:rPr>
              <w:t>Revenue: repairs and maintenance</w:t>
            </w:r>
          </w:p>
        </w:tc>
      </w:tr>
      <w:tr w:rsidR="000A73BC" w14:paraId="52BFD0BA" w14:textId="77777777" w:rsidTr="00540F3B">
        <w:trPr>
          <w:trHeight w:val="947"/>
        </w:trPr>
        <w:tc>
          <w:tcPr>
            <w:tcW w:w="2151" w:type="dxa"/>
          </w:tcPr>
          <w:p w14:paraId="52BFD0B7" w14:textId="77777777" w:rsidR="006D724E" w:rsidRPr="00A65AF3" w:rsidRDefault="006D724E">
            <w:pPr>
              <w:pStyle w:val="TableParagraph"/>
              <w:ind w:left="0"/>
            </w:pPr>
          </w:p>
        </w:tc>
        <w:tc>
          <w:tcPr>
            <w:tcW w:w="3764" w:type="dxa"/>
          </w:tcPr>
          <w:p w14:paraId="52BFD0B8" w14:textId="77777777" w:rsidR="006D724E" w:rsidRPr="00A65AF3" w:rsidRDefault="009F37FD">
            <w:pPr>
              <w:pStyle w:val="TableParagraph"/>
              <w:ind w:right="185"/>
            </w:pPr>
            <w:r w:rsidRPr="00A65AF3">
              <w:t>Provision of disabled facilities and specialist facilities related to pupils with statements.</w:t>
            </w:r>
          </w:p>
        </w:tc>
        <w:tc>
          <w:tcPr>
            <w:tcW w:w="3944" w:type="dxa"/>
          </w:tcPr>
          <w:p w14:paraId="52BFD0B9" w14:textId="77777777" w:rsidR="006D724E" w:rsidRPr="00A65AF3" w:rsidRDefault="009F37FD">
            <w:pPr>
              <w:pStyle w:val="TableParagraph"/>
              <w:ind w:right="378"/>
            </w:pPr>
            <w:r w:rsidRPr="00A65AF3">
              <w:t>Repair/replacement of damaged fittings, waste plumbing etc.</w:t>
            </w:r>
          </w:p>
        </w:tc>
      </w:tr>
      <w:tr w:rsidR="000A73BC" w14:paraId="52BFD0BF" w14:textId="77777777" w:rsidTr="00540F3B">
        <w:trPr>
          <w:trHeight w:val="1883"/>
        </w:trPr>
        <w:tc>
          <w:tcPr>
            <w:tcW w:w="2151" w:type="dxa"/>
          </w:tcPr>
          <w:p w14:paraId="52BFD0BB" w14:textId="77777777" w:rsidR="006D724E" w:rsidRPr="00A65AF3" w:rsidRDefault="009F37FD">
            <w:pPr>
              <w:pStyle w:val="TableParagraph"/>
              <w:spacing w:line="267" w:lineRule="exact"/>
            </w:pPr>
            <w:r w:rsidRPr="00A65AF3">
              <w:t>Kitchens</w:t>
            </w:r>
          </w:p>
        </w:tc>
        <w:tc>
          <w:tcPr>
            <w:tcW w:w="3764" w:type="dxa"/>
          </w:tcPr>
          <w:p w14:paraId="52BFD0BC" w14:textId="77777777" w:rsidR="006D724E" w:rsidRPr="00A65AF3" w:rsidRDefault="009F37FD">
            <w:pPr>
              <w:pStyle w:val="TableParagraph"/>
              <w:ind w:right="238"/>
            </w:pPr>
            <w:r w:rsidRPr="00A65AF3">
              <w:t>Kitchens in new buildings, complete with fittings, equipment, waste plumbing and internal drainage. Internal finishes and decorations.</w:t>
            </w:r>
          </w:p>
        </w:tc>
        <w:tc>
          <w:tcPr>
            <w:tcW w:w="3944" w:type="dxa"/>
          </w:tcPr>
          <w:p w14:paraId="52BFD0BD" w14:textId="77777777" w:rsidR="006D724E" w:rsidRPr="00A65AF3" w:rsidRDefault="009F37FD">
            <w:pPr>
              <w:pStyle w:val="TableParagraph"/>
              <w:ind w:right="338"/>
            </w:pPr>
            <w:r w:rsidRPr="00A65AF3">
              <w:t>Maintain kitchen to requirements of LA.</w:t>
            </w:r>
          </w:p>
          <w:p w14:paraId="52BFD0BE" w14:textId="77777777" w:rsidR="006D724E" w:rsidRPr="00A65AF3" w:rsidRDefault="009F37FD">
            <w:pPr>
              <w:pStyle w:val="TableParagraph"/>
              <w:spacing w:before="111" w:line="343" w:lineRule="auto"/>
              <w:ind w:right="445"/>
            </w:pPr>
            <w:r w:rsidRPr="00A65AF3">
              <w:t>Cleaning out drainage systems. Redecoration.</w:t>
            </w:r>
          </w:p>
        </w:tc>
      </w:tr>
      <w:tr w:rsidR="000A73BC" w14:paraId="52BFD0C3" w14:textId="77777777" w:rsidTr="00540F3B">
        <w:trPr>
          <w:trHeight w:val="398"/>
        </w:trPr>
        <w:tc>
          <w:tcPr>
            <w:tcW w:w="2151" w:type="dxa"/>
          </w:tcPr>
          <w:p w14:paraId="52BFD0C0" w14:textId="77777777" w:rsidR="006D724E" w:rsidRPr="00A65AF3" w:rsidRDefault="006D724E">
            <w:pPr>
              <w:pStyle w:val="TableParagraph"/>
              <w:ind w:left="0"/>
            </w:pPr>
          </w:p>
        </w:tc>
        <w:tc>
          <w:tcPr>
            <w:tcW w:w="3764" w:type="dxa"/>
          </w:tcPr>
          <w:p w14:paraId="52BFD0C1" w14:textId="77777777" w:rsidR="006D724E" w:rsidRPr="00A65AF3" w:rsidRDefault="009F37FD">
            <w:pPr>
              <w:pStyle w:val="TableParagraph"/>
              <w:spacing w:line="270" w:lineRule="exact"/>
            </w:pPr>
            <w:r w:rsidRPr="00A65AF3">
              <w:t>General refurbishment.</w:t>
            </w:r>
          </w:p>
        </w:tc>
        <w:tc>
          <w:tcPr>
            <w:tcW w:w="3944" w:type="dxa"/>
          </w:tcPr>
          <w:p w14:paraId="52BFD0C2" w14:textId="77777777" w:rsidR="006D724E" w:rsidRPr="00A65AF3" w:rsidRDefault="009F37FD">
            <w:pPr>
              <w:pStyle w:val="TableParagraph"/>
              <w:spacing w:line="270" w:lineRule="exact"/>
            </w:pPr>
            <w:r w:rsidRPr="00A65AF3">
              <w:t>Repairs.</w:t>
            </w:r>
          </w:p>
        </w:tc>
      </w:tr>
      <w:tr w:rsidR="000A73BC" w14:paraId="52BFD0C7" w14:textId="77777777" w:rsidTr="00540F3B">
        <w:trPr>
          <w:trHeight w:val="671"/>
        </w:trPr>
        <w:tc>
          <w:tcPr>
            <w:tcW w:w="2151" w:type="dxa"/>
          </w:tcPr>
          <w:p w14:paraId="52BFD0C4" w14:textId="77777777" w:rsidR="006D724E" w:rsidRPr="00A65AF3" w:rsidRDefault="006D724E">
            <w:pPr>
              <w:pStyle w:val="TableParagraph"/>
              <w:ind w:left="0"/>
            </w:pPr>
          </w:p>
        </w:tc>
        <w:tc>
          <w:tcPr>
            <w:tcW w:w="3764" w:type="dxa"/>
          </w:tcPr>
          <w:p w14:paraId="52BFD0C5" w14:textId="77777777" w:rsidR="006D724E" w:rsidRPr="00A65AF3" w:rsidRDefault="009F37FD">
            <w:pPr>
              <w:pStyle w:val="TableParagraph"/>
              <w:ind w:right="1159"/>
            </w:pPr>
            <w:r w:rsidRPr="00A65AF3">
              <w:t>Large and costly items of equipment.</w:t>
            </w:r>
          </w:p>
        </w:tc>
        <w:tc>
          <w:tcPr>
            <w:tcW w:w="3944" w:type="dxa"/>
          </w:tcPr>
          <w:p w14:paraId="52BFD0C6" w14:textId="77777777" w:rsidR="006D724E" w:rsidRPr="00A65AF3" w:rsidRDefault="009F37FD">
            <w:pPr>
              <w:pStyle w:val="TableParagraph"/>
              <w:spacing w:line="267" w:lineRule="exact"/>
            </w:pPr>
            <w:r w:rsidRPr="00A65AF3">
              <w:t>Repairs/replacement parts.</w:t>
            </w:r>
          </w:p>
        </w:tc>
      </w:tr>
      <w:tr w:rsidR="000A73BC" w14:paraId="52BFD0CB" w14:textId="77777777" w:rsidTr="00540F3B">
        <w:trPr>
          <w:trHeight w:val="671"/>
        </w:trPr>
        <w:tc>
          <w:tcPr>
            <w:tcW w:w="2151" w:type="dxa"/>
            <w:shd w:val="clear" w:color="auto" w:fill="D9D9D9" w:themeFill="background1" w:themeFillShade="D9"/>
          </w:tcPr>
          <w:p w14:paraId="52BFD0C8" w14:textId="77777777" w:rsidR="006D724E" w:rsidRPr="00A65AF3" w:rsidRDefault="009F37FD">
            <w:pPr>
              <w:pStyle w:val="TableParagraph"/>
              <w:ind w:right="720"/>
              <w:rPr>
                <w:b/>
              </w:rPr>
            </w:pPr>
            <w:r w:rsidRPr="00A65AF3">
              <w:rPr>
                <w:b/>
              </w:rPr>
              <w:t>Mechanical Services</w:t>
            </w:r>
          </w:p>
        </w:tc>
        <w:tc>
          <w:tcPr>
            <w:tcW w:w="3764" w:type="dxa"/>
            <w:shd w:val="clear" w:color="auto" w:fill="D9D9D9" w:themeFill="background1" w:themeFillShade="D9"/>
          </w:tcPr>
          <w:p w14:paraId="52BFD0C9" w14:textId="77777777" w:rsidR="006D724E" w:rsidRPr="00A65AF3" w:rsidRDefault="006D724E">
            <w:pPr>
              <w:pStyle w:val="TableParagraph"/>
              <w:ind w:left="0"/>
            </w:pPr>
          </w:p>
        </w:tc>
        <w:tc>
          <w:tcPr>
            <w:tcW w:w="3944" w:type="dxa"/>
            <w:shd w:val="clear" w:color="auto" w:fill="D9D9D9" w:themeFill="background1" w:themeFillShade="D9"/>
          </w:tcPr>
          <w:p w14:paraId="52BFD0CA" w14:textId="77777777" w:rsidR="006D724E" w:rsidRPr="00A65AF3" w:rsidRDefault="006D724E">
            <w:pPr>
              <w:pStyle w:val="TableParagraph"/>
              <w:ind w:left="0"/>
            </w:pPr>
          </w:p>
        </w:tc>
      </w:tr>
      <w:tr w:rsidR="000A73BC" w14:paraId="52BFD0D0" w14:textId="77777777" w:rsidTr="00540F3B">
        <w:trPr>
          <w:trHeight w:val="1740"/>
        </w:trPr>
        <w:tc>
          <w:tcPr>
            <w:tcW w:w="2151" w:type="dxa"/>
          </w:tcPr>
          <w:p w14:paraId="52BFD0CC" w14:textId="77777777" w:rsidR="006D724E" w:rsidRPr="00A65AF3" w:rsidRDefault="009F37FD">
            <w:pPr>
              <w:pStyle w:val="TableParagraph"/>
              <w:ind w:right="746"/>
            </w:pPr>
            <w:r w:rsidRPr="00A65AF3">
              <w:t>Heating/Hot Water</w:t>
            </w:r>
          </w:p>
        </w:tc>
        <w:tc>
          <w:tcPr>
            <w:tcW w:w="3764" w:type="dxa"/>
          </w:tcPr>
          <w:p w14:paraId="52BFD0CD" w14:textId="77777777" w:rsidR="006D724E" w:rsidRPr="00A65AF3" w:rsidRDefault="009F37FD">
            <w:pPr>
              <w:pStyle w:val="TableParagraph"/>
              <w:ind w:right="224"/>
            </w:pPr>
            <w:r w:rsidRPr="00A65AF3">
              <w:t>Complete heating and hot water systems to new projects, including fuel, storage, controls, distribution, flues etc.</w:t>
            </w:r>
          </w:p>
        </w:tc>
        <w:tc>
          <w:tcPr>
            <w:tcW w:w="3944" w:type="dxa"/>
          </w:tcPr>
          <w:p w14:paraId="52BFD0CE" w14:textId="77777777" w:rsidR="006D724E" w:rsidRPr="00A65AF3" w:rsidRDefault="009F37FD">
            <w:pPr>
              <w:pStyle w:val="TableParagraph"/>
              <w:ind w:right="97"/>
            </w:pPr>
            <w:r w:rsidRPr="00A65AF3">
              <w:t>General maintenance of all boiler- house plant, including replacement of defective parts.</w:t>
            </w:r>
          </w:p>
          <w:p w14:paraId="52BFD0CF" w14:textId="77777777" w:rsidR="006D724E" w:rsidRPr="00A65AF3" w:rsidRDefault="009F37FD">
            <w:pPr>
              <w:pStyle w:val="TableParagraph"/>
              <w:spacing w:before="20" w:line="396" w:lineRule="exact"/>
              <w:ind w:right="1312"/>
            </w:pPr>
            <w:r w:rsidRPr="00A65AF3">
              <w:t>Regular cleaning. Energy saving projects.</w:t>
            </w:r>
          </w:p>
        </w:tc>
      </w:tr>
      <w:tr w:rsidR="000A73BC" w14:paraId="52BFD0D4" w14:textId="77777777" w:rsidTr="00540F3B">
        <w:trPr>
          <w:trHeight w:val="1614"/>
        </w:trPr>
        <w:tc>
          <w:tcPr>
            <w:tcW w:w="2151" w:type="dxa"/>
          </w:tcPr>
          <w:p w14:paraId="52BFD0D1" w14:textId="77777777" w:rsidR="006D724E" w:rsidRPr="00A65AF3" w:rsidRDefault="006D724E">
            <w:pPr>
              <w:pStyle w:val="TableParagraph"/>
              <w:ind w:left="0"/>
            </w:pPr>
          </w:p>
        </w:tc>
        <w:tc>
          <w:tcPr>
            <w:tcW w:w="3764" w:type="dxa"/>
          </w:tcPr>
          <w:p w14:paraId="52BFD0D2" w14:textId="77777777" w:rsidR="006D724E" w:rsidRPr="00A65AF3" w:rsidRDefault="009F37FD">
            <w:pPr>
              <w:pStyle w:val="TableParagraph"/>
              <w:ind w:right="132"/>
            </w:pPr>
            <w:r w:rsidRPr="00A65AF3">
              <w:t>Safe removal of old/ damaged asbestos boiler and pipework insulation, where risk to Health &amp; Safety.</w:t>
            </w:r>
          </w:p>
        </w:tc>
        <w:tc>
          <w:tcPr>
            <w:tcW w:w="3944" w:type="dxa"/>
          </w:tcPr>
          <w:p w14:paraId="52BFD0D3" w14:textId="77777777" w:rsidR="006D724E" w:rsidRPr="00A65AF3" w:rsidRDefault="009F37FD">
            <w:pPr>
              <w:pStyle w:val="TableParagraph"/>
              <w:spacing w:line="343" w:lineRule="auto"/>
              <w:ind w:right="1085"/>
            </w:pPr>
            <w:r w:rsidRPr="00A65AF3">
              <w:t>Monitoring systems. Health and Safety issues.</w:t>
            </w:r>
          </w:p>
        </w:tc>
      </w:tr>
      <w:tr w:rsidR="000A73BC" w14:paraId="52BFD0D8" w14:textId="77777777" w:rsidTr="00540F3B">
        <w:trPr>
          <w:trHeight w:val="947"/>
        </w:trPr>
        <w:tc>
          <w:tcPr>
            <w:tcW w:w="2151" w:type="dxa"/>
          </w:tcPr>
          <w:p w14:paraId="52BFD0D5" w14:textId="77777777" w:rsidR="006D724E" w:rsidRPr="00A65AF3" w:rsidRDefault="006D724E">
            <w:pPr>
              <w:pStyle w:val="TableParagraph"/>
              <w:ind w:left="0"/>
            </w:pPr>
          </w:p>
        </w:tc>
        <w:tc>
          <w:tcPr>
            <w:tcW w:w="3764" w:type="dxa"/>
          </w:tcPr>
          <w:p w14:paraId="52BFD0D6" w14:textId="77777777" w:rsidR="006D724E" w:rsidRPr="00A65AF3" w:rsidRDefault="009F37FD">
            <w:pPr>
              <w:pStyle w:val="TableParagraph"/>
              <w:ind w:right="265"/>
            </w:pPr>
            <w:r w:rsidRPr="00A65AF3">
              <w:t>Planned replacement of old boiler/controls systems past the end of their useful life.</w:t>
            </w:r>
          </w:p>
        </w:tc>
        <w:tc>
          <w:tcPr>
            <w:tcW w:w="3944" w:type="dxa"/>
          </w:tcPr>
          <w:p w14:paraId="52BFD0D7" w14:textId="77777777" w:rsidR="006D724E" w:rsidRPr="00A65AF3" w:rsidRDefault="009F37FD">
            <w:pPr>
              <w:pStyle w:val="TableParagraph"/>
              <w:spacing w:line="267" w:lineRule="exact"/>
            </w:pPr>
            <w:r w:rsidRPr="00A65AF3">
              <w:t>Replacement of defective parts.</w:t>
            </w:r>
          </w:p>
        </w:tc>
      </w:tr>
      <w:tr w:rsidR="000A73BC" w14:paraId="52BFD0DC" w14:textId="77777777" w:rsidTr="00540F3B">
        <w:trPr>
          <w:trHeight w:val="672"/>
        </w:trPr>
        <w:tc>
          <w:tcPr>
            <w:tcW w:w="2151" w:type="dxa"/>
          </w:tcPr>
          <w:p w14:paraId="52BFD0D9" w14:textId="77777777" w:rsidR="006D724E" w:rsidRPr="00A65AF3" w:rsidRDefault="006D724E">
            <w:pPr>
              <w:pStyle w:val="TableParagraph"/>
              <w:ind w:left="0"/>
            </w:pPr>
          </w:p>
        </w:tc>
        <w:tc>
          <w:tcPr>
            <w:tcW w:w="3764" w:type="dxa"/>
          </w:tcPr>
          <w:p w14:paraId="52BFD0DA" w14:textId="77777777" w:rsidR="006D724E" w:rsidRPr="00A65AF3" w:rsidRDefault="009F37FD">
            <w:pPr>
              <w:pStyle w:val="TableParagraph"/>
              <w:ind w:right="105"/>
            </w:pPr>
            <w:r w:rsidRPr="00A65AF3">
              <w:t>Emergency replacement of boiler plant/systems.</w:t>
            </w:r>
          </w:p>
        </w:tc>
        <w:tc>
          <w:tcPr>
            <w:tcW w:w="3944" w:type="dxa"/>
          </w:tcPr>
          <w:p w14:paraId="52BFD0DB" w14:textId="77777777" w:rsidR="006D724E" w:rsidRPr="00A65AF3" w:rsidRDefault="006D724E">
            <w:pPr>
              <w:pStyle w:val="TableParagraph"/>
              <w:ind w:left="0"/>
            </w:pPr>
          </w:p>
        </w:tc>
      </w:tr>
      <w:tr w:rsidR="000A73BC" w14:paraId="52BFD0E0" w14:textId="77777777" w:rsidTr="00540F3B">
        <w:trPr>
          <w:trHeight w:val="1223"/>
        </w:trPr>
        <w:tc>
          <w:tcPr>
            <w:tcW w:w="2151" w:type="dxa"/>
          </w:tcPr>
          <w:p w14:paraId="52BFD0DD" w14:textId="77777777" w:rsidR="006D724E" w:rsidRPr="00A65AF3" w:rsidRDefault="009F37FD">
            <w:pPr>
              <w:pStyle w:val="TableParagraph"/>
              <w:spacing w:line="267" w:lineRule="exact"/>
            </w:pPr>
            <w:r w:rsidRPr="00A65AF3">
              <w:t>Cold Water</w:t>
            </w:r>
          </w:p>
        </w:tc>
        <w:tc>
          <w:tcPr>
            <w:tcW w:w="3764" w:type="dxa"/>
          </w:tcPr>
          <w:p w14:paraId="52BFD0DE" w14:textId="77777777" w:rsidR="006D724E" w:rsidRPr="00A65AF3" w:rsidRDefault="009F37FD">
            <w:pPr>
              <w:pStyle w:val="TableParagraph"/>
              <w:ind w:right="158"/>
            </w:pPr>
            <w:r w:rsidRPr="00A65AF3">
              <w:t xml:space="preserve">Provision of </w:t>
            </w:r>
            <w:proofErr w:type="gramStart"/>
            <w:r w:rsidRPr="00A65AF3">
              <w:t>cold water</w:t>
            </w:r>
            <w:proofErr w:type="gramEnd"/>
            <w:r w:rsidRPr="00A65AF3">
              <w:t xml:space="preserve"> services, storage tanks, distribution, boosters, hose reels etc in major projects.</w:t>
            </w:r>
          </w:p>
        </w:tc>
        <w:tc>
          <w:tcPr>
            <w:tcW w:w="3944" w:type="dxa"/>
          </w:tcPr>
          <w:p w14:paraId="52BFD0DF" w14:textId="77777777" w:rsidR="006D724E" w:rsidRPr="00A65AF3" w:rsidRDefault="009F37FD">
            <w:pPr>
              <w:pStyle w:val="TableParagraph"/>
              <w:ind w:right="218"/>
            </w:pPr>
            <w:r w:rsidRPr="00A65AF3">
              <w:t xml:space="preserve">Maintenance and repair/ replacement of defective parts such as servicing pipes. Annual servicing of </w:t>
            </w:r>
            <w:proofErr w:type="gramStart"/>
            <w:r w:rsidRPr="00A65AF3">
              <w:t>cold water</w:t>
            </w:r>
            <w:proofErr w:type="gramEnd"/>
            <w:r w:rsidRPr="00A65AF3">
              <w:t xml:space="preserve"> tanks.</w:t>
            </w:r>
          </w:p>
        </w:tc>
      </w:tr>
      <w:tr w:rsidR="000A73BC" w14:paraId="52BFD0E4" w14:textId="77777777" w:rsidTr="00540F3B">
        <w:trPr>
          <w:trHeight w:val="673"/>
        </w:trPr>
        <w:tc>
          <w:tcPr>
            <w:tcW w:w="2151" w:type="dxa"/>
          </w:tcPr>
          <w:p w14:paraId="52BFD0E1" w14:textId="77777777" w:rsidR="006D724E" w:rsidRPr="00A65AF3" w:rsidRDefault="009F37FD">
            <w:pPr>
              <w:pStyle w:val="TableParagraph"/>
              <w:spacing w:line="270" w:lineRule="exact"/>
            </w:pPr>
            <w:r w:rsidRPr="00A65AF3">
              <w:t>Gas</w:t>
            </w:r>
          </w:p>
        </w:tc>
        <w:tc>
          <w:tcPr>
            <w:tcW w:w="3764" w:type="dxa"/>
          </w:tcPr>
          <w:p w14:paraId="52BFD0E2" w14:textId="77777777" w:rsidR="006D724E" w:rsidRPr="00A65AF3" w:rsidRDefault="009F37FD">
            <w:pPr>
              <w:pStyle w:val="TableParagraph"/>
              <w:ind w:right="412"/>
            </w:pPr>
            <w:r w:rsidRPr="00A65AF3">
              <w:t>Distribution of new and major refurbishments, terminal units.</w:t>
            </w:r>
          </w:p>
        </w:tc>
        <w:tc>
          <w:tcPr>
            <w:tcW w:w="3944" w:type="dxa"/>
          </w:tcPr>
          <w:p w14:paraId="52BFD0E3" w14:textId="77777777" w:rsidR="006D724E" w:rsidRPr="00A65AF3" w:rsidRDefault="009F37FD">
            <w:pPr>
              <w:pStyle w:val="TableParagraph"/>
              <w:ind w:right="551"/>
            </w:pPr>
            <w:r w:rsidRPr="00A65AF3">
              <w:t>Repairs, maintenance and gas safety. All servicing.</w:t>
            </w:r>
          </w:p>
        </w:tc>
      </w:tr>
      <w:tr w:rsidR="000A73BC" w14:paraId="52BFD0E8" w14:textId="77777777" w:rsidTr="00540F3B">
        <w:trPr>
          <w:trHeight w:val="948"/>
        </w:trPr>
        <w:tc>
          <w:tcPr>
            <w:tcW w:w="2151" w:type="dxa"/>
          </w:tcPr>
          <w:p w14:paraId="52BFD0E5" w14:textId="77777777" w:rsidR="006D724E" w:rsidRPr="00A65AF3" w:rsidRDefault="009F37FD">
            <w:pPr>
              <w:pStyle w:val="TableParagraph"/>
              <w:spacing w:line="267" w:lineRule="exact"/>
            </w:pPr>
            <w:r w:rsidRPr="00A65AF3">
              <w:lastRenderedPageBreak/>
              <w:t>Ventilation</w:t>
            </w:r>
          </w:p>
        </w:tc>
        <w:tc>
          <w:tcPr>
            <w:tcW w:w="3764" w:type="dxa"/>
          </w:tcPr>
          <w:p w14:paraId="52BFD0E6" w14:textId="77777777" w:rsidR="006D724E" w:rsidRPr="00A65AF3" w:rsidRDefault="009F37FD">
            <w:pPr>
              <w:pStyle w:val="TableParagraph"/>
              <w:ind w:right="438"/>
            </w:pPr>
            <w:r w:rsidRPr="00A65AF3">
              <w:t>Mechanical ventilation/air conditioning to major projects.</w:t>
            </w:r>
          </w:p>
        </w:tc>
        <w:tc>
          <w:tcPr>
            <w:tcW w:w="3944" w:type="dxa"/>
          </w:tcPr>
          <w:p w14:paraId="52BFD0E7" w14:textId="77777777" w:rsidR="006D724E" w:rsidRPr="00A65AF3" w:rsidRDefault="009F37FD">
            <w:pPr>
              <w:pStyle w:val="TableParagraph"/>
              <w:ind w:right="418"/>
            </w:pPr>
            <w:r w:rsidRPr="00A65AF3">
              <w:t>Provision of local ventilation. Repair/replacement of defective systems and units.</w:t>
            </w:r>
          </w:p>
        </w:tc>
      </w:tr>
      <w:tr w:rsidR="000A73BC" w14:paraId="52BFD0F3" w14:textId="77777777" w:rsidTr="00540F3B">
        <w:trPr>
          <w:trHeight w:val="885"/>
        </w:trPr>
        <w:tc>
          <w:tcPr>
            <w:tcW w:w="2151" w:type="dxa"/>
          </w:tcPr>
          <w:p w14:paraId="52BFD0F0" w14:textId="77777777" w:rsidR="006D724E" w:rsidRPr="00A65AF3" w:rsidRDefault="009F37FD">
            <w:pPr>
              <w:pStyle w:val="TableParagraph"/>
              <w:spacing w:line="314" w:lineRule="exact"/>
              <w:rPr>
                <w:b/>
              </w:rPr>
            </w:pPr>
            <w:r w:rsidRPr="00A65AF3">
              <w:rPr>
                <w:b/>
              </w:rPr>
              <w:t>Element</w:t>
            </w:r>
          </w:p>
        </w:tc>
        <w:tc>
          <w:tcPr>
            <w:tcW w:w="3764" w:type="dxa"/>
          </w:tcPr>
          <w:p w14:paraId="52BFD0F1" w14:textId="77777777" w:rsidR="006D724E" w:rsidRPr="00A65AF3" w:rsidRDefault="009F37FD">
            <w:pPr>
              <w:pStyle w:val="TableParagraph"/>
              <w:ind w:right="173"/>
              <w:rPr>
                <w:b/>
              </w:rPr>
            </w:pPr>
            <w:r w:rsidRPr="00A65AF3">
              <w:rPr>
                <w:b/>
              </w:rPr>
              <w:t>Capital: as CIPFA Code of Practice</w:t>
            </w:r>
          </w:p>
        </w:tc>
        <w:tc>
          <w:tcPr>
            <w:tcW w:w="3944" w:type="dxa"/>
          </w:tcPr>
          <w:p w14:paraId="52BFD0F2" w14:textId="77777777" w:rsidR="006D724E" w:rsidRPr="00A65AF3" w:rsidRDefault="009F37FD">
            <w:pPr>
              <w:pStyle w:val="TableParagraph"/>
              <w:ind w:right="959"/>
              <w:rPr>
                <w:b/>
              </w:rPr>
            </w:pPr>
            <w:r w:rsidRPr="00A65AF3">
              <w:rPr>
                <w:b/>
              </w:rPr>
              <w:t>Revenue: repairs and maintenance</w:t>
            </w:r>
          </w:p>
        </w:tc>
      </w:tr>
      <w:tr w:rsidR="000A73BC" w14:paraId="52BFD0F7" w14:textId="77777777" w:rsidTr="00540F3B">
        <w:trPr>
          <w:trHeight w:val="1775"/>
        </w:trPr>
        <w:tc>
          <w:tcPr>
            <w:tcW w:w="2151" w:type="dxa"/>
          </w:tcPr>
          <w:p w14:paraId="52BFD0F4" w14:textId="77777777" w:rsidR="006D724E" w:rsidRPr="00A65AF3" w:rsidRDefault="009F37FD">
            <w:pPr>
              <w:pStyle w:val="TableParagraph"/>
              <w:spacing w:line="267" w:lineRule="exact"/>
            </w:pPr>
            <w:r w:rsidRPr="00A65AF3">
              <w:t>Other</w:t>
            </w:r>
          </w:p>
        </w:tc>
        <w:tc>
          <w:tcPr>
            <w:tcW w:w="3764" w:type="dxa"/>
          </w:tcPr>
          <w:p w14:paraId="52BFD0F5" w14:textId="77777777" w:rsidR="006D724E" w:rsidRPr="00A65AF3" w:rsidRDefault="009F37FD">
            <w:pPr>
              <w:pStyle w:val="TableParagraph"/>
              <w:ind w:right="371"/>
            </w:pPr>
            <w:r w:rsidRPr="00A65AF3">
              <w:t>Swimming pool plant and its complete installation, including heat recovery systems.</w:t>
            </w:r>
          </w:p>
        </w:tc>
        <w:tc>
          <w:tcPr>
            <w:tcW w:w="3944" w:type="dxa"/>
          </w:tcPr>
          <w:p w14:paraId="52BFD0F6" w14:textId="77777777" w:rsidR="006D724E" w:rsidRPr="00A65AF3" w:rsidRDefault="009F37FD">
            <w:pPr>
              <w:pStyle w:val="TableParagraph"/>
              <w:ind w:right="125"/>
            </w:pPr>
            <w:r w:rsidRPr="00A65AF3">
              <w:t>Repair/replacement of parts to plant, pumps and controls. Water treatment equipment and all distribution pipework. Simple heat recovery systems. Solar heating plant and equipment.</w:t>
            </w:r>
          </w:p>
        </w:tc>
      </w:tr>
      <w:tr w:rsidR="000A73BC" w14:paraId="52BFD0FB" w14:textId="77777777" w:rsidTr="00540F3B">
        <w:trPr>
          <w:trHeight w:val="671"/>
        </w:trPr>
        <w:tc>
          <w:tcPr>
            <w:tcW w:w="2151" w:type="dxa"/>
            <w:shd w:val="clear" w:color="auto" w:fill="D9D9D9" w:themeFill="background1" w:themeFillShade="D9"/>
          </w:tcPr>
          <w:p w14:paraId="52BFD0F8" w14:textId="77777777" w:rsidR="006D724E" w:rsidRPr="00A65AF3" w:rsidRDefault="009F37FD">
            <w:pPr>
              <w:pStyle w:val="TableParagraph"/>
              <w:ind w:right="946"/>
              <w:rPr>
                <w:b/>
              </w:rPr>
            </w:pPr>
            <w:r w:rsidRPr="00A65AF3">
              <w:rPr>
                <w:b/>
              </w:rPr>
              <w:t>Electrical Services</w:t>
            </w:r>
          </w:p>
        </w:tc>
        <w:tc>
          <w:tcPr>
            <w:tcW w:w="3764" w:type="dxa"/>
            <w:shd w:val="clear" w:color="auto" w:fill="D9D9D9" w:themeFill="background1" w:themeFillShade="D9"/>
          </w:tcPr>
          <w:p w14:paraId="52BFD0F9" w14:textId="77777777" w:rsidR="006D724E" w:rsidRPr="00A65AF3" w:rsidRDefault="006D724E">
            <w:pPr>
              <w:pStyle w:val="TableParagraph"/>
              <w:ind w:left="0"/>
            </w:pPr>
          </w:p>
        </w:tc>
        <w:tc>
          <w:tcPr>
            <w:tcW w:w="3944" w:type="dxa"/>
            <w:shd w:val="clear" w:color="auto" w:fill="D9D9D9" w:themeFill="background1" w:themeFillShade="D9"/>
          </w:tcPr>
          <w:p w14:paraId="52BFD0FA" w14:textId="77777777" w:rsidR="006D724E" w:rsidRPr="00A65AF3" w:rsidRDefault="006D724E">
            <w:pPr>
              <w:pStyle w:val="TableParagraph"/>
              <w:ind w:left="0"/>
            </w:pPr>
          </w:p>
        </w:tc>
      </w:tr>
      <w:tr w:rsidR="000A73BC" w14:paraId="52BFD0FF" w14:textId="77777777" w:rsidTr="00540F3B">
        <w:trPr>
          <w:trHeight w:val="1500"/>
        </w:trPr>
        <w:tc>
          <w:tcPr>
            <w:tcW w:w="2151" w:type="dxa"/>
          </w:tcPr>
          <w:p w14:paraId="52BFD0FC" w14:textId="77777777" w:rsidR="006D724E" w:rsidRPr="00A65AF3" w:rsidRDefault="009F37FD">
            <w:pPr>
              <w:pStyle w:val="TableParagraph"/>
              <w:spacing w:line="267" w:lineRule="exact"/>
            </w:pPr>
            <w:r w:rsidRPr="00A65AF3">
              <w:t>General</w:t>
            </w:r>
          </w:p>
        </w:tc>
        <w:tc>
          <w:tcPr>
            <w:tcW w:w="3764" w:type="dxa"/>
          </w:tcPr>
          <w:p w14:paraId="52BFD0FD" w14:textId="77777777" w:rsidR="006D724E" w:rsidRPr="00A65AF3" w:rsidRDefault="009F37FD">
            <w:pPr>
              <w:pStyle w:val="TableParagraph"/>
              <w:ind w:right="198"/>
            </w:pPr>
            <w:r w:rsidRPr="00A65AF3">
              <w:t>Main switchgear and distribution in major projects.</w:t>
            </w:r>
          </w:p>
        </w:tc>
        <w:tc>
          <w:tcPr>
            <w:tcW w:w="3944" w:type="dxa"/>
          </w:tcPr>
          <w:p w14:paraId="52BFD0FE" w14:textId="77777777" w:rsidR="006D724E" w:rsidRPr="00A65AF3" w:rsidRDefault="009F37FD">
            <w:pPr>
              <w:pStyle w:val="TableParagraph"/>
              <w:ind w:right="138"/>
            </w:pPr>
            <w:r w:rsidRPr="00A65AF3">
              <w:t>Testing/replacement of distribution boards. The repair and maintenance of all switchgear and interconnecting cables including that in temporary buildings.</w:t>
            </w:r>
          </w:p>
        </w:tc>
      </w:tr>
      <w:tr w:rsidR="000A73BC" w14:paraId="52BFD103" w14:textId="77777777" w:rsidTr="00540F3B">
        <w:trPr>
          <w:trHeight w:val="947"/>
        </w:trPr>
        <w:tc>
          <w:tcPr>
            <w:tcW w:w="2151" w:type="dxa"/>
          </w:tcPr>
          <w:p w14:paraId="52BFD100" w14:textId="77777777" w:rsidR="006D724E" w:rsidRPr="00A65AF3" w:rsidRDefault="006D724E">
            <w:pPr>
              <w:pStyle w:val="TableParagraph"/>
              <w:ind w:left="0"/>
            </w:pPr>
          </w:p>
        </w:tc>
        <w:tc>
          <w:tcPr>
            <w:tcW w:w="3764" w:type="dxa"/>
          </w:tcPr>
          <w:p w14:paraId="52BFD101" w14:textId="77777777" w:rsidR="006D724E" w:rsidRPr="00A65AF3" w:rsidRDefault="009F37FD">
            <w:pPr>
              <w:pStyle w:val="TableParagraph"/>
              <w:ind w:right="504"/>
            </w:pPr>
            <w:r w:rsidRPr="00A65AF3">
              <w:t>Replacement of obsolete and dangerous wiring systems, including distribution boards.</w:t>
            </w:r>
          </w:p>
        </w:tc>
        <w:tc>
          <w:tcPr>
            <w:tcW w:w="3944" w:type="dxa"/>
          </w:tcPr>
          <w:p w14:paraId="52BFD102" w14:textId="77777777" w:rsidR="006D724E" w:rsidRPr="00A65AF3" w:rsidRDefault="009F37FD">
            <w:pPr>
              <w:pStyle w:val="TableParagraph"/>
              <w:ind w:right="111"/>
            </w:pPr>
            <w:r w:rsidRPr="00A65AF3">
              <w:t>All testing, earthing and bonding to meet Health and Safety. All servicing.</w:t>
            </w:r>
          </w:p>
        </w:tc>
      </w:tr>
      <w:tr w:rsidR="000A73BC" w14:paraId="52BFD107" w14:textId="77777777" w:rsidTr="00540F3B">
        <w:trPr>
          <w:trHeight w:val="671"/>
        </w:trPr>
        <w:tc>
          <w:tcPr>
            <w:tcW w:w="2151" w:type="dxa"/>
          </w:tcPr>
          <w:p w14:paraId="52BFD104" w14:textId="77777777" w:rsidR="006D724E" w:rsidRPr="00A65AF3" w:rsidRDefault="009F37FD">
            <w:pPr>
              <w:pStyle w:val="TableParagraph"/>
              <w:spacing w:line="267" w:lineRule="exact"/>
            </w:pPr>
            <w:r w:rsidRPr="00A65AF3">
              <w:t>Power</w:t>
            </w:r>
          </w:p>
        </w:tc>
        <w:tc>
          <w:tcPr>
            <w:tcW w:w="3764" w:type="dxa"/>
          </w:tcPr>
          <w:p w14:paraId="52BFD105" w14:textId="77777777" w:rsidR="006D724E" w:rsidRPr="00A65AF3" w:rsidRDefault="009F37FD">
            <w:pPr>
              <w:pStyle w:val="TableParagraph"/>
              <w:ind w:right="372"/>
            </w:pPr>
            <w:r w:rsidRPr="00A65AF3">
              <w:t>Control gear, distribution, fixed equipment, protection etc.</w:t>
            </w:r>
          </w:p>
        </w:tc>
        <w:tc>
          <w:tcPr>
            <w:tcW w:w="3944" w:type="dxa"/>
          </w:tcPr>
          <w:p w14:paraId="52BFD106" w14:textId="77777777" w:rsidR="006D724E" w:rsidRPr="00A65AF3" w:rsidRDefault="009F37FD">
            <w:pPr>
              <w:pStyle w:val="TableParagraph"/>
              <w:ind w:right="165"/>
            </w:pPr>
            <w:r w:rsidRPr="00A65AF3">
              <w:t>All testing, repair and replacement of small items of equipment.</w:t>
            </w:r>
          </w:p>
        </w:tc>
      </w:tr>
      <w:tr w:rsidR="000A73BC" w14:paraId="52BFD10B" w14:textId="77777777" w:rsidTr="00540F3B">
        <w:trPr>
          <w:trHeight w:val="947"/>
        </w:trPr>
        <w:tc>
          <w:tcPr>
            <w:tcW w:w="2151" w:type="dxa"/>
          </w:tcPr>
          <w:p w14:paraId="52BFD108" w14:textId="77777777" w:rsidR="006D724E" w:rsidRPr="00A65AF3" w:rsidRDefault="009F37FD">
            <w:pPr>
              <w:pStyle w:val="TableParagraph"/>
              <w:spacing w:line="267" w:lineRule="exact"/>
            </w:pPr>
            <w:r w:rsidRPr="00A65AF3">
              <w:t>Lighting</w:t>
            </w:r>
          </w:p>
        </w:tc>
        <w:tc>
          <w:tcPr>
            <w:tcW w:w="3764" w:type="dxa"/>
          </w:tcPr>
          <w:p w14:paraId="52BFD109" w14:textId="77777777" w:rsidR="006D724E" w:rsidRPr="00A65AF3" w:rsidRDefault="009F37FD">
            <w:pPr>
              <w:pStyle w:val="TableParagraph"/>
              <w:ind w:right="745"/>
            </w:pPr>
            <w:r w:rsidRPr="00A65AF3">
              <w:t>Provision of luminaires and emergency</w:t>
            </w:r>
            <w:r w:rsidRPr="00A65AF3">
              <w:rPr>
                <w:vertAlign w:val="superscript"/>
              </w:rPr>
              <w:t>1</w:t>
            </w:r>
          </w:p>
        </w:tc>
        <w:tc>
          <w:tcPr>
            <w:tcW w:w="3944" w:type="dxa"/>
          </w:tcPr>
          <w:p w14:paraId="52BFD10A" w14:textId="77777777" w:rsidR="006D724E" w:rsidRPr="00A65AF3" w:rsidRDefault="009F37FD">
            <w:pPr>
              <w:pStyle w:val="TableParagraph"/>
              <w:ind w:right="592"/>
            </w:pPr>
            <w:r w:rsidRPr="00A65AF3">
              <w:t>Replacement of luminaries, all testing, adjustments and improvements to emergency</w:t>
            </w:r>
            <w:r w:rsidRPr="00A65AF3">
              <w:rPr>
                <w:vertAlign w:val="superscript"/>
              </w:rPr>
              <w:t>2</w:t>
            </w:r>
          </w:p>
        </w:tc>
      </w:tr>
      <w:tr w:rsidR="000A73BC" w14:paraId="52BFD10F" w14:textId="77777777" w:rsidTr="00540F3B">
        <w:trPr>
          <w:trHeight w:val="950"/>
        </w:trPr>
        <w:tc>
          <w:tcPr>
            <w:tcW w:w="2151" w:type="dxa"/>
          </w:tcPr>
          <w:p w14:paraId="52BFD10C" w14:textId="77777777" w:rsidR="006D724E" w:rsidRPr="00A65AF3" w:rsidRDefault="009F37FD">
            <w:pPr>
              <w:pStyle w:val="TableParagraph"/>
              <w:spacing w:line="270" w:lineRule="exact"/>
            </w:pPr>
            <w:r w:rsidRPr="00A65AF3">
              <w:t>Other</w:t>
            </w:r>
          </w:p>
        </w:tc>
        <w:tc>
          <w:tcPr>
            <w:tcW w:w="3764" w:type="dxa"/>
          </w:tcPr>
          <w:p w14:paraId="52BFD10D" w14:textId="77777777" w:rsidR="006D724E" w:rsidRPr="00A65AF3" w:rsidRDefault="009F37FD">
            <w:pPr>
              <w:pStyle w:val="TableParagraph"/>
              <w:ind w:right="148"/>
            </w:pPr>
            <w:r w:rsidRPr="00A65AF3">
              <w:t>Lightning protection in new build. Alarm systems, CCTV, lifts/hoists</w:t>
            </w:r>
            <w:r w:rsidRPr="00A65AF3">
              <w:rPr>
                <w:spacing w:val="-3"/>
              </w:rPr>
              <w:t xml:space="preserve"> </w:t>
            </w:r>
            <w:r w:rsidRPr="00A65AF3">
              <w:t>etc.</w:t>
            </w:r>
          </w:p>
        </w:tc>
        <w:tc>
          <w:tcPr>
            <w:tcW w:w="3944" w:type="dxa"/>
          </w:tcPr>
          <w:p w14:paraId="52BFD10E" w14:textId="77777777" w:rsidR="006D724E" w:rsidRPr="00A65AF3" w:rsidRDefault="009F37FD">
            <w:pPr>
              <w:pStyle w:val="TableParagraph"/>
              <w:spacing w:line="270" w:lineRule="exact"/>
            </w:pPr>
            <w:r w:rsidRPr="00A65AF3">
              <w:t>Repair and maintenance.</w:t>
            </w:r>
          </w:p>
        </w:tc>
      </w:tr>
      <w:tr w:rsidR="000A73BC" w14:paraId="52BFD113" w14:textId="77777777" w:rsidTr="00540F3B">
        <w:trPr>
          <w:trHeight w:val="1499"/>
        </w:trPr>
        <w:tc>
          <w:tcPr>
            <w:tcW w:w="2151" w:type="dxa"/>
          </w:tcPr>
          <w:p w14:paraId="52BFD110" w14:textId="77777777" w:rsidR="006D724E" w:rsidRPr="00A65AF3" w:rsidRDefault="006D724E">
            <w:pPr>
              <w:pStyle w:val="TableParagraph"/>
              <w:ind w:left="0"/>
            </w:pPr>
          </w:p>
        </w:tc>
        <w:tc>
          <w:tcPr>
            <w:tcW w:w="3764" w:type="dxa"/>
          </w:tcPr>
          <w:p w14:paraId="52BFD111" w14:textId="77777777" w:rsidR="006D724E" w:rsidRPr="00A65AF3" w:rsidRDefault="009F37FD">
            <w:pPr>
              <w:pStyle w:val="TableParagraph"/>
              <w:ind w:right="438"/>
            </w:pPr>
            <w:r w:rsidRPr="00A65AF3">
              <w:t>New installation of communication systems, radio/TV, call, telephone, data transmission, IT etc and provision in new build.</w:t>
            </w:r>
          </w:p>
        </w:tc>
        <w:tc>
          <w:tcPr>
            <w:tcW w:w="3944" w:type="dxa"/>
          </w:tcPr>
          <w:p w14:paraId="52BFD112" w14:textId="77777777" w:rsidR="006D724E" w:rsidRPr="00A65AF3" w:rsidRDefault="009F37FD">
            <w:pPr>
              <w:pStyle w:val="TableParagraph"/>
              <w:ind w:right="178"/>
            </w:pPr>
            <w:r w:rsidRPr="00A65AF3">
              <w:t>Repair/replacement/maintenance, including all door access systems.</w:t>
            </w:r>
          </w:p>
        </w:tc>
      </w:tr>
      <w:tr w:rsidR="000A73BC" w14:paraId="52BFD117" w14:textId="77777777" w:rsidTr="00540F3B">
        <w:trPr>
          <w:trHeight w:val="396"/>
        </w:trPr>
        <w:tc>
          <w:tcPr>
            <w:tcW w:w="2151" w:type="dxa"/>
            <w:shd w:val="clear" w:color="auto" w:fill="D9D9D9" w:themeFill="background1" w:themeFillShade="D9"/>
          </w:tcPr>
          <w:p w14:paraId="52BFD114" w14:textId="77777777" w:rsidR="006D724E" w:rsidRPr="00A65AF3" w:rsidRDefault="009F37FD">
            <w:pPr>
              <w:pStyle w:val="TableParagraph"/>
              <w:spacing w:line="268" w:lineRule="exact"/>
              <w:rPr>
                <w:b/>
              </w:rPr>
            </w:pPr>
            <w:r w:rsidRPr="00A65AF3">
              <w:rPr>
                <w:b/>
              </w:rPr>
              <w:t>External Works</w:t>
            </w:r>
          </w:p>
        </w:tc>
        <w:tc>
          <w:tcPr>
            <w:tcW w:w="3764" w:type="dxa"/>
            <w:shd w:val="clear" w:color="auto" w:fill="D9D9D9" w:themeFill="background1" w:themeFillShade="D9"/>
          </w:tcPr>
          <w:p w14:paraId="52BFD115" w14:textId="77777777" w:rsidR="006D724E" w:rsidRPr="00A65AF3" w:rsidRDefault="006D724E">
            <w:pPr>
              <w:pStyle w:val="TableParagraph"/>
              <w:ind w:left="0"/>
            </w:pPr>
          </w:p>
        </w:tc>
        <w:tc>
          <w:tcPr>
            <w:tcW w:w="3944" w:type="dxa"/>
            <w:shd w:val="clear" w:color="auto" w:fill="D9D9D9" w:themeFill="background1" w:themeFillShade="D9"/>
          </w:tcPr>
          <w:p w14:paraId="52BFD116" w14:textId="77777777" w:rsidR="006D724E" w:rsidRPr="00A65AF3" w:rsidRDefault="006D724E">
            <w:pPr>
              <w:pStyle w:val="TableParagraph"/>
              <w:ind w:left="0"/>
            </w:pPr>
          </w:p>
        </w:tc>
      </w:tr>
      <w:tr w:rsidR="000A73BC" w14:paraId="52BFD11B" w14:textId="77777777" w:rsidTr="00540F3B">
        <w:trPr>
          <w:trHeight w:val="1775"/>
        </w:trPr>
        <w:tc>
          <w:tcPr>
            <w:tcW w:w="2151" w:type="dxa"/>
          </w:tcPr>
          <w:p w14:paraId="52BFD118" w14:textId="77777777" w:rsidR="006D724E" w:rsidRPr="00A65AF3" w:rsidRDefault="009F37FD">
            <w:pPr>
              <w:pStyle w:val="TableParagraph"/>
              <w:spacing w:line="267" w:lineRule="exact"/>
            </w:pPr>
            <w:r w:rsidRPr="00A65AF3">
              <w:t>Pavings</w:t>
            </w:r>
          </w:p>
        </w:tc>
        <w:tc>
          <w:tcPr>
            <w:tcW w:w="3764" w:type="dxa"/>
          </w:tcPr>
          <w:p w14:paraId="52BFD119" w14:textId="77777777" w:rsidR="006D724E" w:rsidRPr="00A65AF3" w:rsidRDefault="009F37FD">
            <w:pPr>
              <w:pStyle w:val="TableParagraph"/>
              <w:ind w:right="585"/>
            </w:pPr>
            <w:r w:rsidRPr="00A65AF3">
              <w:t>Provision of new roads, car parks, paths, court, terraces, play pitches, steps and handrails, as part of major project, including disabled access.</w:t>
            </w:r>
          </w:p>
        </w:tc>
        <w:tc>
          <w:tcPr>
            <w:tcW w:w="3944" w:type="dxa"/>
          </w:tcPr>
          <w:p w14:paraId="52BFD11A" w14:textId="77777777" w:rsidR="006D724E" w:rsidRPr="00A65AF3" w:rsidRDefault="009F37FD">
            <w:pPr>
              <w:pStyle w:val="TableParagraph"/>
              <w:ind w:right="125"/>
            </w:pPr>
            <w:r w:rsidRPr="00A65AF3">
              <w:t>Maintenance and repair. Car park and playground markings.</w:t>
            </w:r>
          </w:p>
        </w:tc>
      </w:tr>
      <w:tr w:rsidR="000A73BC" w14:paraId="52BFD11F" w14:textId="77777777" w:rsidTr="00540F3B">
        <w:trPr>
          <w:trHeight w:val="947"/>
        </w:trPr>
        <w:tc>
          <w:tcPr>
            <w:tcW w:w="2151" w:type="dxa"/>
          </w:tcPr>
          <w:p w14:paraId="52BFD11C" w14:textId="77777777" w:rsidR="006D724E" w:rsidRPr="00A65AF3" w:rsidRDefault="009F37FD">
            <w:pPr>
              <w:pStyle w:val="TableParagraph"/>
              <w:spacing w:line="267" w:lineRule="exact"/>
            </w:pPr>
            <w:r w:rsidRPr="00A65AF3">
              <w:t>Miscellaneous</w:t>
            </w:r>
          </w:p>
        </w:tc>
        <w:tc>
          <w:tcPr>
            <w:tcW w:w="3764" w:type="dxa"/>
          </w:tcPr>
          <w:p w14:paraId="52BFD11D" w14:textId="77777777" w:rsidR="006D724E" w:rsidRPr="00A65AF3" w:rsidRDefault="009F37FD">
            <w:pPr>
              <w:pStyle w:val="TableParagraph"/>
              <w:ind w:right="164"/>
              <w:jc w:val="both"/>
            </w:pPr>
            <w:r w:rsidRPr="00A65AF3">
              <w:t>Provision of walls, fencing, gates and ancillary buildings as part of major project.</w:t>
            </w:r>
          </w:p>
        </w:tc>
        <w:tc>
          <w:tcPr>
            <w:tcW w:w="3944" w:type="dxa"/>
          </w:tcPr>
          <w:p w14:paraId="52BFD11E" w14:textId="77777777" w:rsidR="006D724E" w:rsidRPr="00A65AF3" w:rsidRDefault="009F37FD">
            <w:pPr>
              <w:pStyle w:val="TableParagraph"/>
              <w:ind w:right="729"/>
              <w:jc w:val="both"/>
            </w:pPr>
            <w:r w:rsidRPr="00A65AF3">
              <w:t>Maintenance and repair of all perimeter/boundary/retaining walls, fencing and gates.</w:t>
            </w:r>
          </w:p>
        </w:tc>
      </w:tr>
    </w:tbl>
    <w:p w14:paraId="52BFD120" w14:textId="77777777" w:rsidR="006D724E" w:rsidRPr="00A65AF3" w:rsidRDefault="006D724E" w:rsidP="006D724E">
      <w:pPr>
        <w:pStyle w:val="BodyText"/>
      </w:pPr>
    </w:p>
    <w:p w14:paraId="52BFD126" w14:textId="77777777" w:rsidR="006D724E" w:rsidRPr="00A65AF3" w:rsidRDefault="006D724E" w:rsidP="006D724E">
      <w:pPr>
        <w:spacing w:line="275" w:lineRule="exact"/>
        <w:jc w:val="center"/>
        <w:sectPr w:rsidR="006D724E" w:rsidRPr="00A65AF3" w:rsidSect="001908C5">
          <w:pgSz w:w="11910" w:h="16840"/>
          <w:pgMar w:top="1134" w:right="1134" w:bottom="1134" w:left="1134" w:header="720" w:footer="720" w:gutter="0"/>
          <w:cols w:space="720"/>
          <w:docGrid w:linePitch="299"/>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D12A" w14:textId="77777777" w:rsidTr="006D724E">
        <w:trPr>
          <w:trHeight w:val="885"/>
        </w:trPr>
        <w:tc>
          <w:tcPr>
            <w:tcW w:w="2151" w:type="dxa"/>
          </w:tcPr>
          <w:p w14:paraId="52BFD127" w14:textId="77777777" w:rsidR="006D724E" w:rsidRPr="00A65AF3" w:rsidRDefault="009F37FD">
            <w:pPr>
              <w:pStyle w:val="TableParagraph"/>
              <w:spacing w:line="314" w:lineRule="exact"/>
              <w:rPr>
                <w:b/>
              </w:rPr>
            </w:pPr>
            <w:r w:rsidRPr="00A65AF3">
              <w:rPr>
                <w:b/>
              </w:rPr>
              <w:lastRenderedPageBreak/>
              <w:t>Element</w:t>
            </w:r>
          </w:p>
        </w:tc>
        <w:tc>
          <w:tcPr>
            <w:tcW w:w="3764" w:type="dxa"/>
          </w:tcPr>
          <w:p w14:paraId="52BFD128" w14:textId="77777777" w:rsidR="006D724E" w:rsidRPr="00A65AF3" w:rsidRDefault="009F37FD">
            <w:pPr>
              <w:pStyle w:val="TableParagraph"/>
              <w:ind w:right="173"/>
              <w:rPr>
                <w:b/>
              </w:rPr>
            </w:pPr>
            <w:r w:rsidRPr="00A65AF3">
              <w:rPr>
                <w:b/>
              </w:rPr>
              <w:t>Capital: as CIPFA Code of Practice</w:t>
            </w:r>
          </w:p>
        </w:tc>
        <w:tc>
          <w:tcPr>
            <w:tcW w:w="3944" w:type="dxa"/>
          </w:tcPr>
          <w:p w14:paraId="52BFD129" w14:textId="77777777" w:rsidR="006D724E" w:rsidRPr="00A65AF3" w:rsidRDefault="009F37FD">
            <w:pPr>
              <w:pStyle w:val="TableParagraph"/>
              <w:ind w:right="959"/>
              <w:rPr>
                <w:b/>
              </w:rPr>
            </w:pPr>
            <w:r w:rsidRPr="00A65AF3">
              <w:rPr>
                <w:b/>
              </w:rPr>
              <w:t>Revenue: repairs and maintenance</w:t>
            </w:r>
          </w:p>
        </w:tc>
      </w:tr>
      <w:tr w:rsidR="000A73BC" w14:paraId="52BFD12E" w14:textId="77777777" w:rsidTr="006D724E">
        <w:trPr>
          <w:trHeight w:val="1499"/>
        </w:trPr>
        <w:tc>
          <w:tcPr>
            <w:tcW w:w="2151" w:type="dxa"/>
          </w:tcPr>
          <w:p w14:paraId="52BFD12B" w14:textId="77777777" w:rsidR="006D724E" w:rsidRPr="00A65AF3" w:rsidRDefault="009F37FD">
            <w:pPr>
              <w:pStyle w:val="TableParagraph"/>
              <w:spacing w:line="267" w:lineRule="exact"/>
            </w:pPr>
            <w:r w:rsidRPr="00A65AF3">
              <w:t>Drainage</w:t>
            </w:r>
          </w:p>
        </w:tc>
        <w:tc>
          <w:tcPr>
            <w:tcW w:w="3764" w:type="dxa"/>
          </w:tcPr>
          <w:p w14:paraId="52BFD12C" w14:textId="77777777" w:rsidR="006D724E" w:rsidRPr="00A65AF3" w:rsidRDefault="009F37FD">
            <w:pPr>
              <w:pStyle w:val="TableParagraph"/>
              <w:ind w:right="304"/>
            </w:pPr>
            <w:r w:rsidRPr="00A65AF3">
              <w:t>Drains, soakaways, inspection chambers and sewage plant as part of new projects.</w:t>
            </w:r>
          </w:p>
        </w:tc>
        <w:tc>
          <w:tcPr>
            <w:tcW w:w="3944" w:type="dxa"/>
          </w:tcPr>
          <w:p w14:paraId="52BFD12D" w14:textId="77777777" w:rsidR="006D724E" w:rsidRPr="00A65AF3" w:rsidRDefault="009F37FD">
            <w:pPr>
              <w:pStyle w:val="TableParagraph"/>
              <w:ind w:right="102"/>
            </w:pPr>
            <w:r w:rsidRPr="00A65AF3">
              <w:t>Maintenance and repair of drains, gullies, grease traps and manholes between buildings and main sewers.  Cleaning of the above and unblocking as</w:t>
            </w:r>
            <w:r w:rsidRPr="00A65AF3">
              <w:rPr>
                <w:spacing w:val="-6"/>
              </w:rPr>
              <w:t xml:space="preserve"> </w:t>
            </w:r>
            <w:r w:rsidRPr="00A65AF3">
              <w:t>necessary.</w:t>
            </w:r>
          </w:p>
        </w:tc>
      </w:tr>
      <w:tr w:rsidR="000A73BC" w14:paraId="52BFD132" w14:textId="77777777" w:rsidTr="006D724E">
        <w:trPr>
          <w:trHeight w:val="1223"/>
        </w:trPr>
        <w:tc>
          <w:tcPr>
            <w:tcW w:w="2151" w:type="dxa"/>
          </w:tcPr>
          <w:p w14:paraId="52BFD12F" w14:textId="77777777" w:rsidR="006D724E" w:rsidRPr="00A65AF3" w:rsidRDefault="009F37FD">
            <w:pPr>
              <w:pStyle w:val="TableParagraph"/>
              <w:spacing w:line="267" w:lineRule="exact"/>
            </w:pPr>
            <w:r w:rsidRPr="00A65AF3">
              <w:t>Open Air Pools</w:t>
            </w:r>
          </w:p>
        </w:tc>
        <w:tc>
          <w:tcPr>
            <w:tcW w:w="3764" w:type="dxa"/>
          </w:tcPr>
          <w:p w14:paraId="52BFD130" w14:textId="77777777" w:rsidR="006D724E" w:rsidRPr="00A65AF3" w:rsidRDefault="009F37FD">
            <w:pPr>
              <w:pStyle w:val="TableParagraph"/>
              <w:ind w:right="211"/>
            </w:pPr>
            <w:r w:rsidRPr="00A65AF3">
              <w:t>Structure, hygiene/safety in new build.</w:t>
            </w:r>
          </w:p>
        </w:tc>
        <w:tc>
          <w:tcPr>
            <w:tcW w:w="3944" w:type="dxa"/>
          </w:tcPr>
          <w:p w14:paraId="52BFD131" w14:textId="77777777" w:rsidR="006D724E" w:rsidRPr="00A65AF3" w:rsidRDefault="009F37FD">
            <w:pPr>
              <w:pStyle w:val="TableParagraph"/>
              <w:ind w:right="138"/>
            </w:pPr>
            <w:r w:rsidRPr="00A65AF3">
              <w:t>Hygiene, cleaning, maintenance and repairs, including replacement parts. Simple energy saving systems.</w:t>
            </w:r>
          </w:p>
        </w:tc>
      </w:tr>
      <w:tr w:rsidR="000A73BC" w14:paraId="52BFD137" w14:textId="77777777" w:rsidTr="006D724E">
        <w:trPr>
          <w:trHeight w:val="731"/>
        </w:trPr>
        <w:tc>
          <w:tcPr>
            <w:tcW w:w="2151" w:type="dxa"/>
            <w:tcBorders>
              <w:bottom w:val="nil"/>
            </w:tcBorders>
          </w:tcPr>
          <w:p w14:paraId="52BFD133" w14:textId="77777777" w:rsidR="006D724E" w:rsidRPr="00A65AF3" w:rsidRDefault="009F37FD">
            <w:pPr>
              <w:pStyle w:val="TableParagraph"/>
              <w:ind w:right="813"/>
            </w:pPr>
            <w:r w:rsidRPr="00A65AF3">
              <w:t>Services Distribution</w:t>
            </w:r>
          </w:p>
        </w:tc>
        <w:tc>
          <w:tcPr>
            <w:tcW w:w="3764" w:type="dxa"/>
            <w:tcBorders>
              <w:bottom w:val="nil"/>
            </w:tcBorders>
          </w:tcPr>
          <w:p w14:paraId="52BFD134" w14:textId="77777777" w:rsidR="006D724E" w:rsidRPr="00A65AF3" w:rsidRDefault="009F37FD">
            <w:pPr>
              <w:pStyle w:val="TableParagraph"/>
              <w:spacing w:line="268" w:lineRule="exact"/>
            </w:pPr>
            <w:r w:rsidRPr="00A65AF3">
              <w:t>Heating mains.</w:t>
            </w:r>
          </w:p>
          <w:p w14:paraId="52BFD135" w14:textId="77777777" w:rsidR="006D724E" w:rsidRPr="00A65AF3" w:rsidRDefault="009F37FD">
            <w:pPr>
              <w:pStyle w:val="TableParagraph"/>
              <w:spacing w:before="120"/>
            </w:pPr>
            <w:r w:rsidRPr="00A65AF3">
              <w:t>Gas mains.</w:t>
            </w:r>
          </w:p>
        </w:tc>
        <w:tc>
          <w:tcPr>
            <w:tcW w:w="3944" w:type="dxa"/>
            <w:tcBorders>
              <w:bottom w:val="nil"/>
            </w:tcBorders>
          </w:tcPr>
          <w:p w14:paraId="52BFD136" w14:textId="77777777" w:rsidR="006D724E" w:rsidRPr="00A65AF3" w:rsidRDefault="009F37FD">
            <w:pPr>
              <w:pStyle w:val="TableParagraph"/>
              <w:spacing w:line="268" w:lineRule="exact"/>
            </w:pPr>
            <w:r w:rsidRPr="00A65AF3">
              <w:t>Annual servicing.</w:t>
            </w:r>
          </w:p>
        </w:tc>
      </w:tr>
      <w:tr w:rsidR="000A73BC" w14:paraId="52BFD13B" w14:textId="77777777" w:rsidTr="006D724E">
        <w:trPr>
          <w:trHeight w:val="395"/>
        </w:trPr>
        <w:tc>
          <w:tcPr>
            <w:tcW w:w="2151" w:type="dxa"/>
            <w:tcBorders>
              <w:top w:val="nil"/>
              <w:bottom w:val="nil"/>
            </w:tcBorders>
          </w:tcPr>
          <w:p w14:paraId="52BFD138" w14:textId="77777777" w:rsidR="006D724E" w:rsidRPr="00A65AF3" w:rsidRDefault="006D724E">
            <w:pPr>
              <w:pStyle w:val="TableParagraph"/>
              <w:ind w:left="0"/>
            </w:pPr>
          </w:p>
        </w:tc>
        <w:tc>
          <w:tcPr>
            <w:tcW w:w="3764" w:type="dxa"/>
            <w:tcBorders>
              <w:top w:val="nil"/>
              <w:bottom w:val="nil"/>
            </w:tcBorders>
          </w:tcPr>
          <w:p w14:paraId="52BFD139" w14:textId="77777777" w:rsidR="006D724E" w:rsidRPr="00A65AF3" w:rsidRDefault="009F37FD">
            <w:pPr>
              <w:pStyle w:val="TableParagraph"/>
              <w:spacing w:before="52"/>
            </w:pPr>
            <w:r w:rsidRPr="00A65AF3">
              <w:t>Water mains.</w:t>
            </w:r>
          </w:p>
        </w:tc>
        <w:tc>
          <w:tcPr>
            <w:tcW w:w="3944" w:type="dxa"/>
            <w:tcBorders>
              <w:top w:val="nil"/>
              <w:bottom w:val="nil"/>
            </w:tcBorders>
          </w:tcPr>
          <w:p w14:paraId="52BFD13A" w14:textId="77777777" w:rsidR="006D724E" w:rsidRPr="00A65AF3" w:rsidRDefault="006D724E">
            <w:pPr>
              <w:pStyle w:val="TableParagraph"/>
              <w:ind w:left="0"/>
            </w:pPr>
          </w:p>
        </w:tc>
      </w:tr>
      <w:tr w:rsidR="000A73BC" w14:paraId="52BFD13F" w14:textId="77777777" w:rsidTr="006D724E">
        <w:trPr>
          <w:trHeight w:val="396"/>
        </w:trPr>
        <w:tc>
          <w:tcPr>
            <w:tcW w:w="2151" w:type="dxa"/>
            <w:tcBorders>
              <w:top w:val="nil"/>
              <w:bottom w:val="nil"/>
            </w:tcBorders>
          </w:tcPr>
          <w:p w14:paraId="52BFD13C" w14:textId="77777777" w:rsidR="006D724E" w:rsidRPr="00A65AF3" w:rsidRDefault="006D724E">
            <w:pPr>
              <w:pStyle w:val="TableParagraph"/>
              <w:ind w:left="0"/>
            </w:pPr>
          </w:p>
        </w:tc>
        <w:tc>
          <w:tcPr>
            <w:tcW w:w="3764" w:type="dxa"/>
            <w:tcBorders>
              <w:top w:val="nil"/>
              <w:bottom w:val="nil"/>
            </w:tcBorders>
          </w:tcPr>
          <w:p w14:paraId="52BFD13D" w14:textId="77777777" w:rsidR="006D724E" w:rsidRPr="00A65AF3" w:rsidRDefault="009F37FD">
            <w:pPr>
              <w:pStyle w:val="TableParagraph"/>
              <w:spacing w:before="52"/>
            </w:pPr>
            <w:r w:rsidRPr="00A65AF3">
              <w:t>Electricity mains.</w:t>
            </w:r>
          </w:p>
        </w:tc>
        <w:tc>
          <w:tcPr>
            <w:tcW w:w="3944" w:type="dxa"/>
            <w:tcBorders>
              <w:top w:val="nil"/>
              <w:bottom w:val="nil"/>
            </w:tcBorders>
          </w:tcPr>
          <w:p w14:paraId="52BFD13E" w14:textId="77777777" w:rsidR="006D724E" w:rsidRPr="00A65AF3" w:rsidRDefault="006D724E">
            <w:pPr>
              <w:pStyle w:val="TableParagraph"/>
              <w:ind w:left="0"/>
            </w:pPr>
          </w:p>
        </w:tc>
      </w:tr>
      <w:tr w:rsidR="000A73BC" w14:paraId="52BFD143" w14:textId="77777777" w:rsidTr="006D724E">
        <w:trPr>
          <w:trHeight w:val="456"/>
        </w:trPr>
        <w:tc>
          <w:tcPr>
            <w:tcW w:w="2151" w:type="dxa"/>
            <w:tcBorders>
              <w:top w:val="nil"/>
            </w:tcBorders>
          </w:tcPr>
          <w:p w14:paraId="52BFD140" w14:textId="77777777" w:rsidR="006D724E" w:rsidRPr="00A65AF3" w:rsidRDefault="006D724E">
            <w:pPr>
              <w:pStyle w:val="TableParagraph"/>
              <w:ind w:left="0"/>
            </w:pPr>
          </w:p>
        </w:tc>
        <w:tc>
          <w:tcPr>
            <w:tcW w:w="3764" w:type="dxa"/>
            <w:tcBorders>
              <w:top w:val="nil"/>
            </w:tcBorders>
          </w:tcPr>
          <w:p w14:paraId="52BFD141" w14:textId="77777777" w:rsidR="006D724E" w:rsidRPr="00A65AF3" w:rsidRDefault="009F37FD">
            <w:pPr>
              <w:pStyle w:val="TableParagraph"/>
              <w:spacing w:before="52"/>
            </w:pPr>
            <w:r w:rsidRPr="00A65AF3">
              <w:t>Renewal of any of the above.</w:t>
            </w:r>
          </w:p>
        </w:tc>
        <w:tc>
          <w:tcPr>
            <w:tcW w:w="3944" w:type="dxa"/>
            <w:tcBorders>
              <w:top w:val="nil"/>
            </w:tcBorders>
          </w:tcPr>
          <w:p w14:paraId="52BFD142" w14:textId="77777777" w:rsidR="006D724E" w:rsidRPr="00A65AF3" w:rsidRDefault="006D724E">
            <w:pPr>
              <w:pStyle w:val="TableParagraph"/>
              <w:ind w:left="0"/>
            </w:pPr>
          </w:p>
        </w:tc>
      </w:tr>
    </w:tbl>
    <w:p w14:paraId="52BFD144" w14:textId="77777777" w:rsidR="006D724E" w:rsidRPr="00A65AF3" w:rsidRDefault="006D724E" w:rsidP="006D724E">
      <w:pPr>
        <w:pStyle w:val="BodyText"/>
        <w:spacing w:before="3"/>
      </w:pPr>
    </w:p>
    <w:p w14:paraId="52BFD145" w14:textId="77777777" w:rsidR="006D724E" w:rsidRDefault="009F37FD" w:rsidP="00480689">
      <w:pPr>
        <w:spacing w:before="92"/>
        <w:ind w:left="720"/>
        <w:rPr>
          <w:b/>
        </w:rPr>
      </w:pPr>
      <w:r w:rsidRPr="00A65AF3">
        <w:rPr>
          <w:b/>
        </w:rPr>
        <w:t>Notes</w:t>
      </w:r>
    </w:p>
    <w:p w14:paraId="275AF18E" w14:textId="77777777" w:rsidR="00480689" w:rsidRPr="00A65AF3" w:rsidRDefault="00480689" w:rsidP="00480689">
      <w:pPr>
        <w:ind w:left="720"/>
        <w:rPr>
          <w:b/>
        </w:rPr>
      </w:pPr>
    </w:p>
    <w:p w14:paraId="52BFD146" w14:textId="77777777" w:rsidR="006D724E" w:rsidRPr="00A65AF3" w:rsidRDefault="009F37FD" w:rsidP="00480689">
      <w:pPr>
        <w:ind w:left="720" w:right="1032"/>
        <w:jc w:val="both"/>
      </w:pPr>
      <w:r w:rsidRPr="00A65AF3">
        <w:t>This illustrative list is the DfES interpretation of the CIPFA Code of Practice and local authorities should refer to the Code when defining capital and revenue.</w:t>
      </w:r>
    </w:p>
    <w:p w14:paraId="52BFD147" w14:textId="428599E9" w:rsidR="006D724E" w:rsidRPr="00A65AF3" w:rsidRDefault="00480689" w:rsidP="00227360">
      <w:pPr>
        <w:pStyle w:val="BodyText"/>
        <w:tabs>
          <w:tab w:val="left" w:pos="2535"/>
        </w:tabs>
        <w:jc w:val="both"/>
      </w:pPr>
      <w:r>
        <w:tab/>
      </w:r>
    </w:p>
    <w:p w14:paraId="52BFD148" w14:textId="77777777" w:rsidR="006D724E" w:rsidRDefault="009F37FD" w:rsidP="00480689">
      <w:pPr>
        <w:spacing w:before="1"/>
        <w:ind w:left="720" w:right="1001"/>
        <w:jc w:val="both"/>
      </w:pPr>
      <w:r w:rsidRPr="00A65AF3">
        <w:t>Where local authorities use de minimis limits for defining capital and revenue in their financial accounts, the same de minimis limits must be used in defining what is delegated. The application of a de minimis limit may change the examples given in the first two columns of the illustrative list.</w:t>
      </w:r>
    </w:p>
    <w:p w14:paraId="52BFD149" w14:textId="77777777" w:rsidR="006D724E" w:rsidRDefault="006D724E" w:rsidP="00480689">
      <w:pPr>
        <w:spacing w:before="1"/>
        <w:ind w:left="720" w:right="1001"/>
        <w:jc w:val="both"/>
      </w:pPr>
    </w:p>
    <w:p w14:paraId="52BFD14A" w14:textId="77777777" w:rsidR="006D724E" w:rsidRDefault="009F37FD" w:rsidP="00480689">
      <w:pPr>
        <w:jc w:val="both"/>
      </w:pPr>
      <w:r>
        <w:br w:type="page"/>
      </w:r>
    </w:p>
    <w:p w14:paraId="52BFD14B" w14:textId="5202A62E" w:rsidR="006D724E" w:rsidRPr="00130247" w:rsidRDefault="00130247" w:rsidP="00130247">
      <w:pPr>
        <w:pStyle w:val="Heading2"/>
        <w:ind w:right="1003"/>
        <w:jc w:val="right"/>
        <w:rPr>
          <w:sz w:val="36"/>
          <w:szCs w:val="22"/>
          <w:lang w:val="en"/>
        </w:rPr>
      </w:pPr>
      <w:r w:rsidRPr="00130247">
        <w:rPr>
          <w:sz w:val="36"/>
          <w:szCs w:val="22"/>
          <w:lang w:val="en"/>
        </w:rPr>
        <w:lastRenderedPageBreak/>
        <w:t>APPENDIX 5</w:t>
      </w:r>
    </w:p>
    <w:p w14:paraId="1F3E3BCB" w14:textId="77777777" w:rsidR="00130247" w:rsidRDefault="00130247" w:rsidP="001908C5">
      <w:pPr>
        <w:pStyle w:val="Heading2"/>
        <w:ind w:left="919" w:right="1004" w:firstLine="0"/>
        <w:jc w:val="both"/>
        <w:rPr>
          <w:sz w:val="22"/>
          <w:szCs w:val="22"/>
          <w:lang w:val="en"/>
        </w:rPr>
      </w:pPr>
    </w:p>
    <w:p w14:paraId="52BFD14C" w14:textId="2CE318E1" w:rsidR="006D724E" w:rsidRDefault="009F37FD" w:rsidP="001908C5">
      <w:pPr>
        <w:pStyle w:val="Heading2"/>
        <w:ind w:left="919" w:right="1004" w:firstLine="0"/>
        <w:jc w:val="both"/>
        <w:rPr>
          <w:sz w:val="22"/>
          <w:szCs w:val="22"/>
          <w:lang w:val="en"/>
        </w:rPr>
      </w:pPr>
      <w:r w:rsidRPr="00212A2C">
        <w:rPr>
          <w:sz w:val="22"/>
          <w:szCs w:val="22"/>
          <w:lang w:val="en"/>
        </w:rPr>
        <w:t>APPLICATION OF SCHEMES FOR FINANCING SCHOOLS TO THE COMMUNITY FACILITIES POWER</w:t>
      </w:r>
    </w:p>
    <w:p w14:paraId="52BFD14E" w14:textId="77777777" w:rsidR="006D724E" w:rsidRPr="00212A2C" w:rsidRDefault="006D724E" w:rsidP="001908C5">
      <w:pPr>
        <w:pStyle w:val="Heading2"/>
        <w:ind w:left="919" w:right="1004" w:firstLine="0"/>
        <w:jc w:val="both"/>
        <w:rPr>
          <w:b w:val="0"/>
          <w:sz w:val="22"/>
          <w:szCs w:val="22"/>
          <w:lang w:val="en"/>
        </w:rPr>
      </w:pPr>
    </w:p>
    <w:p w14:paraId="52BFD14F"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 xml:space="preserve">Schools which choose to exercise the power conferred by section 27 (1) of the Education Act 2002 to provide community facilities will be subject to </w:t>
      </w:r>
      <w:proofErr w:type="gramStart"/>
      <w:r w:rsidRPr="00212A2C">
        <w:rPr>
          <w:b w:val="0"/>
          <w:sz w:val="22"/>
          <w:szCs w:val="22"/>
          <w:lang w:val="en"/>
        </w:rPr>
        <w:t>controls</w:t>
      </w:r>
      <w:proofErr w:type="gramEnd"/>
      <w:r w:rsidRPr="00212A2C">
        <w:rPr>
          <w:b w:val="0"/>
          <w:sz w:val="22"/>
          <w:szCs w:val="22"/>
          <w:lang w:val="en"/>
        </w:rPr>
        <w:t>. Regulations made under section 28 (2), if made, can specify activities which may not be undertaken at all under the main enabling power.</w:t>
      </w:r>
    </w:p>
    <w:p w14:paraId="52BFD150" w14:textId="77777777" w:rsidR="006D724E" w:rsidRPr="00212A2C" w:rsidRDefault="006D724E" w:rsidP="001908C5">
      <w:pPr>
        <w:pStyle w:val="Heading2"/>
        <w:ind w:left="919" w:right="1004" w:firstLine="0"/>
        <w:jc w:val="both"/>
        <w:rPr>
          <w:b w:val="0"/>
          <w:sz w:val="22"/>
          <w:szCs w:val="22"/>
          <w:lang w:val="en"/>
        </w:rPr>
      </w:pPr>
    </w:p>
    <w:p w14:paraId="52BFD151"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Section 88 of the Children and Families Act 2014, has removed the requirements in section 28(4) and section 28(5) of the Education Act 2002 for maintained schools in England. Under section 28(4) a school was obliged to consult its authority and under section 28(5) a school must have regard to advice or guidance from the Secretary of State or their local authority when offering this type of provision.</w:t>
      </w:r>
    </w:p>
    <w:p w14:paraId="52BFD152" w14:textId="77777777" w:rsidR="006D724E" w:rsidRPr="00212A2C" w:rsidRDefault="006D724E" w:rsidP="001908C5">
      <w:pPr>
        <w:pStyle w:val="Heading2"/>
        <w:ind w:left="919" w:right="1004" w:firstLine="0"/>
        <w:jc w:val="both"/>
        <w:rPr>
          <w:b w:val="0"/>
          <w:sz w:val="22"/>
          <w:szCs w:val="22"/>
          <w:lang w:val="en"/>
        </w:rPr>
      </w:pPr>
    </w:p>
    <w:p w14:paraId="52BFD153" w14:textId="77777777" w:rsidR="006D724E" w:rsidRPr="00212A2C" w:rsidRDefault="009F37FD" w:rsidP="001908C5">
      <w:pPr>
        <w:pStyle w:val="Heading2"/>
        <w:ind w:left="919" w:right="1004" w:firstLine="0"/>
        <w:jc w:val="both"/>
        <w:rPr>
          <w:b w:val="0"/>
          <w:sz w:val="22"/>
          <w:szCs w:val="22"/>
          <w:lang w:val="en"/>
        </w:rPr>
      </w:pPr>
      <w:r w:rsidRPr="00212A2C">
        <w:rPr>
          <w:b w:val="0"/>
          <w:sz w:val="22"/>
          <w:szCs w:val="22"/>
          <w:lang w:val="en"/>
        </w:rPr>
        <w:t>Under section 28(1), the main limitations and restrictions on the power will be those contained in the maintaining authority’s scheme for financing schools made under section 48 of the School Standards and Framework Act 1998 as amended by paragraph 2 of Schedule 3 to the Education Act 2002.</w:t>
      </w:r>
    </w:p>
    <w:p w14:paraId="12A3D561" w14:textId="77777777" w:rsidR="001908C5" w:rsidRDefault="001908C5" w:rsidP="001908C5">
      <w:pPr>
        <w:pStyle w:val="Heading2"/>
        <w:ind w:left="919" w:right="1004" w:firstLine="0"/>
        <w:jc w:val="both"/>
        <w:rPr>
          <w:b w:val="0"/>
          <w:sz w:val="22"/>
          <w:szCs w:val="22"/>
          <w:lang w:val="en"/>
        </w:rPr>
      </w:pPr>
    </w:p>
    <w:p w14:paraId="52BFD154"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This amendment extended the coverage of schemes to include the exercise of the powers of governing bodies to provide community facilities.</w:t>
      </w:r>
    </w:p>
    <w:p w14:paraId="52BFD155" w14:textId="77777777" w:rsidR="006D724E" w:rsidRPr="00212A2C" w:rsidRDefault="006D724E" w:rsidP="001908C5">
      <w:pPr>
        <w:pStyle w:val="Heading2"/>
        <w:ind w:left="919" w:right="1004" w:firstLine="0"/>
        <w:jc w:val="both"/>
        <w:rPr>
          <w:b w:val="0"/>
          <w:sz w:val="22"/>
          <w:szCs w:val="22"/>
          <w:lang w:val="en"/>
        </w:rPr>
      </w:pPr>
    </w:p>
    <w:p w14:paraId="52BFD156" w14:textId="323D9C38" w:rsidR="006D724E" w:rsidRPr="00212A2C" w:rsidRDefault="009F37FD" w:rsidP="001908C5">
      <w:pPr>
        <w:pStyle w:val="Heading2"/>
        <w:ind w:left="919" w:right="1004" w:firstLine="0"/>
        <w:jc w:val="both"/>
        <w:rPr>
          <w:b w:val="0"/>
          <w:sz w:val="22"/>
          <w:szCs w:val="22"/>
          <w:lang w:val="en"/>
        </w:rPr>
      </w:pPr>
      <w:r w:rsidRPr="00212A2C">
        <w:rPr>
          <w:b w:val="0"/>
          <w:sz w:val="22"/>
          <w:szCs w:val="22"/>
          <w:lang w:val="en"/>
        </w:rPr>
        <w:t xml:space="preserve">Schools are therefore subject to prohibitions, restrictions and limitations in the scheme for financing schools. This part of the scheme does not extend to joint-use agreements, transfer of control agreements, or agreements between the </w:t>
      </w:r>
      <w:proofErr w:type="gramStart"/>
      <w:r w:rsidRPr="00212A2C">
        <w:rPr>
          <w:b w:val="0"/>
          <w:sz w:val="22"/>
          <w:szCs w:val="22"/>
          <w:lang w:val="en"/>
        </w:rPr>
        <w:t>authority</w:t>
      </w:r>
      <w:proofErr w:type="gramEnd"/>
      <w:r w:rsidRPr="00212A2C">
        <w:rPr>
          <w:b w:val="0"/>
          <w:sz w:val="22"/>
          <w:szCs w:val="22"/>
          <w:lang w:val="en"/>
        </w:rPr>
        <w:t xml:space="preserve"> and schools to secure the provision of adult and community learning</w:t>
      </w:r>
      <w:r w:rsidR="001908C5">
        <w:rPr>
          <w:b w:val="0"/>
          <w:sz w:val="22"/>
          <w:szCs w:val="22"/>
          <w:lang w:val="en"/>
        </w:rPr>
        <w:t>.</w:t>
      </w:r>
    </w:p>
    <w:p w14:paraId="52BFD157" w14:textId="77777777" w:rsidR="006D724E" w:rsidRPr="00A65AF3" w:rsidRDefault="006D724E" w:rsidP="006D724E">
      <w:pPr>
        <w:spacing w:before="232"/>
        <w:ind w:left="720" w:right="1030"/>
      </w:pPr>
    </w:p>
    <w:sectPr w:rsidR="006D724E" w:rsidRPr="00A65AF3">
      <w:pgSz w:w="11910" w:h="16840"/>
      <w:pgMar w:top="760" w:right="14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4CB7" w14:textId="77777777" w:rsidR="002C2DA8" w:rsidRDefault="002C2DA8">
      <w:r>
        <w:separator/>
      </w:r>
    </w:p>
  </w:endnote>
  <w:endnote w:type="continuationSeparator" w:id="0">
    <w:p w14:paraId="43F4302D" w14:textId="77777777" w:rsidR="002C2DA8" w:rsidRDefault="002C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D164" w14:textId="77777777" w:rsidR="009C672B" w:rsidRDefault="009C672B" w:rsidP="006D724E">
    <w:pPr>
      <w:pStyle w:val="Footer"/>
      <w:jc w:val="center"/>
      <w:rPr>
        <w:sz w:val="18"/>
        <w:szCs w:val="18"/>
      </w:rPr>
    </w:pPr>
  </w:p>
  <w:p w14:paraId="52BFD165" w14:textId="52885A1A" w:rsidR="009C672B" w:rsidRPr="0009141D" w:rsidRDefault="009C672B" w:rsidP="006D724E">
    <w:pPr>
      <w:pStyle w:val="Footer"/>
      <w:jc w:val="center"/>
      <w:rPr>
        <w:sz w:val="18"/>
        <w:szCs w:val="18"/>
      </w:rPr>
    </w:pPr>
    <w:r w:rsidRPr="0009141D">
      <w:rPr>
        <w:sz w:val="18"/>
        <w:szCs w:val="18"/>
      </w:rPr>
      <w:t xml:space="preserve">Page </w:t>
    </w:r>
    <w:r w:rsidRPr="0009141D">
      <w:rPr>
        <w:b/>
        <w:sz w:val="18"/>
        <w:szCs w:val="18"/>
      </w:rPr>
      <w:fldChar w:fldCharType="begin"/>
    </w:r>
    <w:r w:rsidRPr="0009141D">
      <w:rPr>
        <w:b/>
        <w:sz w:val="18"/>
        <w:szCs w:val="18"/>
      </w:rPr>
      <w:instrText xml:space="preserve"> PAGE  \* Arabic  \* MERGEFORMAT </w:instrText>
    </w:r>
    <w:r w:rsidRPr="0009141D">
      <w:rPr>
        <w:b/>
        <w:sz w:val="18"/>
        <w:szCs w:val="18"/>
      </w:rPr>
      <w:fldChar w:fldCharType="separate"/>
    </w:r>
    <w:r w:rsidR="009357BE">
      <w:rPr>
        <w:b/>
        <w:noProof/>
        <w:sz w:val="18"/>
        <w:szCs w:val="18"/>
      </w:rPr>
      <w:t>21</w:t>
    </w:r>
    <w:r w:rsidRPr="0009141D">
      <w:rPr>
        <w:b/>
        <w:sz w:val="18"/>
        <w:szCs w:val="18"/>
      </w:rPr>
      <w:fldChar w:fldCharType="end"/>
    </w:r>
    <w:r w:rsidRPr="0009141D">
      <w:rPr>
        <w:sz w:val="18"/>
        <w:szCs w:val="18"/>
      </w:rPr>
      <w:t xml:space="preserve"> of </w:t>
    </w:r>
    <w:r w:rsidRPr="0009141D">
      <w:rPr>
        <w:b/>
        <w:sz w:val="18"/>
        <w:szCs w:val="18"/>
      </w:rPr>
      <w:fldChar w:fldCharType="begin"/>
    </w:r>
    <w:r w:rsidRPr="0009141D">
      <w:rPr>
        <w:b/>
        <w:sz w:val="18"/>
        <w:szCs w:val="18"/>
      </w:rPr>
      <w:instrText xml:space="preserve"> NUMPAGES  \* Arabic  \* MERGEFORMAT </w:instrText>
    </w:r>
    <w:r w:rsidRPr="0009141D">
      <w:rPr>
        <w:b/>
        <w:sz w:val="18"/>
        <w:szCs w:val="18"/>
      </w:rPr>
      <w:fldChar w:fldCharType="separate"/>
    </w:r>
    <w:r w:rsidR="009357BE">
      <w:rPr>
        <w:b/>
        <w:noProof/>
        <w:sz w:val="18"/>
        <w:szCs w:val="18"/>
      </w:rPr>
      <w:t>53</w:t>
    </w:r>
    <w:r w:rsidRPr="0009141D">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3AC1" w14:textId="1073E207" w:rsidR="009C672B" w:rsidRPr="0009141D" w:rsidRDefault="009C672B" w:rsidP="006E468B">
    <w:pPr>
      <w:pStyle w:val="Footer"/>
      <w:jc w:val="center"/>
      <w:rPr>
        <w:sz w:val="18"/>
        <w:szCs w:val="18"/>
      </w:rPr>
    </w:pPr>
    <w:r w:rsidRPr="0009141D">
      <w:rPr>
        <w:sz w:val="18"/>
        <w:szCs w:val="18"/>
      </w:rPr>
      <w:t xml:space="preserve">Page </w:t>
    </w:r>
    <w:r w:rsidRPr="0009141D">
      <w:rPr>
        <w:b/>
        <w:sz w:val="18"/>
        <w:szCs w:val="18"/>
      </w:rPr>
      <w:fldChar w:fldCharType="begin"/>
    </w:r>
    <w:r w:rsidRPr="0009141D">
      <w:rPr>
        <w:b/>
        <w:sz w:val="18"/>
        <w:szCs w:val="18"/>
      </w:rPr>
      <w:instrText xml:space="preserve"> PAGE  \* Arabic  \* MERGEFORMAT </w:instrText>
    </w:r>
    <w:r w:rsidRPr="0009141D">
      <w:rPr>
        <w:b/>
        <w:sz w:val="18"/>
        <w:szCs w:val="18"/>
      </w:rPr>
      <w:fldChar w:fldCharType="separate"/>
    </w:r>
    <w:r w:rsidR="009357BE">
      <w:rPr>
        <w:b/>
        <w:noProof/>
        <w:sz w:val="18"/>
        <w:szCs w:val="18"/>
      </w:rPr>
      <w:t>1</w:t>
    </w:r>
    <w:r w:rsidRPr="0009141D">
      <w:rPr>
        <w:b/>
        <w:sz w:val="18"/>
        <w:szCs w:val="18"/>
      </w:rPr>
      <w:fldChar w:fldCharType="end"/>
    </w:r>
    <w:r w:rsidRPr="0009141D">
      <w:rPr>
        <w:sz w:val="18"/>
        <w:szCs w:val="18"/>
      </w:rPr>
      <w:t xml:space="preserve"> of </w:t>
    </w:r>
    <w:r w:rsidRPr="0009141D">
      <w:rPr>
        <w:b/>
        <w:sz w:val="18"/>
        <w:szCs w:val="18"/>
      </w:rPr>
      <w:fldChar w:fldCharType="begin"/>
    </w:r>
    <w:r w:rsidRPr="0009141D">
      <w:rPr>
        <w:b/>
        <w:sz w:val="18"/>
        <w:szCs w:val="18"/>
      </w:rPr>
      <w:instrText xml:space="preserve"> NUMPAGES  \* Arabic  \* MERGEFORMAT </w:instrText>
    </w:r>
    <w:r w:rsidRPr="0009141D">
      <w:rPr>
        <w:b/>
        <w:sz w:val="18"/>
        <w:szCs w:val="18"/>
      </w:rPr>
      <w:fldChar w:fldCharType="separate"/>
    </w:r>
    <w:r w:rsidR="009357BE">
      <w:rPr>
        <w:b/>
        <w:noProof/>
        <w:sz w:val="18"/>
        <w:szCs w:val="18"/>
      </w:rPr>
      <w:t>53</w:t>
    </w:r>
    <w:r w:rsidRPr="0009141D">
      <w:rPr>
        <w:b/>
        <w:sz w:val="18"/>
        <w:szCs w:val="18"/>
      </w:rPr>
      <w:fldChar w:fldCharType="end"/>
    </w:r>
  </w:p>
  <w:p w14:paraId="160F5CDA" w14:textId="10F47FFC" w:rsidR="009C672B" w:rsidRDefault="009C672B" w:rsidP="006E46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A49C" w14:textId="77777777" w:rsidR="002C2DA8" w:rsidRDefault="002C2DA8">
      <w:r>
        <w:separator/>
      </w:r>
    </w:p>
  </w:footnote>
  <w:footnote w:type="continuationSeparator" w:id="0">
    <w:p w14:paraId="60FEA786" w14:textId="77777777" w:rsidR="002C2DA8" w:rsidRDefault="002C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787" w14:textId="77777777" w:rsidR="009C672B" w:rsidRDefault="009C672B" w:rsidP="001302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EB1"/>
    <w:multiLevelType w:val="multilevel"/>
    <w:tmpl w:val="F39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0446"/>
    <w:multiLevelType w:val="multilevel"/>
    <w:tmpl w:val="74BA9CCE"/>
    <w:lvl w:ilvl="0">
      <w:start w:val="3"/>
      <w:numFmt w:val="decimal"/>
      <w:lvlText w:val="%1"/>
      <w:lvlJc w:val="left"/>
      <w:pPr>
        <w:ind w:left="1638" w:hanging="721"/>
      </w:pPr>
      <w:rPr>
        <w:rFonts w:hint="default"/>
        <w:lang w:val="en-GB" w:eastAsia="en-GB" w:bidi="en-GB"/>
      </w:rPr>
    </w:lvl>
    <w:lvl w:ilvl="1">
      <w:start w:val="4"/>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2" w15:restartNumberingAfterBreak="0">
    <w:nsid w:val="168A56AF"/>
    <w:multiLevelType w:val="multilevel"/>
    <w:tmpl w:val="30E07F9A"/>
    <w:lvl w:ilvl="0">
      <w:start w:val="1"/>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3" w15:restartNumberingAfterBreak="0">
    <w:nsid w:val="18716F1D"/>
    <w:multiLevelType w:val="hybridMultilevel"/>
    <w:tmpl w:val="FF667A50"/>
    <w:lvl w:ilvl="0" w:tplc="B8CE4BD6">
      <w:start w:val="1"/>
      <w:numFmt w:val="bullet"/>
      <w:lvlText w:val=""/>
      <w:lvlJc w:val="left"/>
      <w:pPr>
        <w:ind w:left="1637" w:hanging="360"/>
      </w:pPr>
      <w:rPr>
        <w:rFonts w:ascii="Symbol" w:hAnsi="Symbol" w:hint="default"/>
      </w:rPr>
    </w:lvl>
    <w:lvl w:ilvl="1" w:tplc="E81ABA9A" w:tentative="1">
      <w:start w:val="1"/>
      <w:numFmt w:val="bullet"/>
      <w:lvlText w:val="o"/>
      <w:lvlJc w:val="left"/>
      <w:pPr>
        <w:ind w:left="2357" w:hanging="360"/>
      </w:pPr>
      <w:rPr>
        <w:rFonts w:ascii="Courier New" w:hAnsi="Courier New" w:cs="Courier New" w:hint="default"/>
      </w:rPr>
    </w:lvl>
    <w:lvl w:ilvl="2" w:tplc="3B14E468" w:tentative="1">
      <w:start w:val="1"/>
      <w:numFmt w:val="bullet"/>
      <w:lvlText w:val=""/>
      <w:lvlJc w:val="left"/>
      <w:pPr>
        <w:ind w:left="3077" w:hanging="360"/>
      </w:pPr>
      <w:rPr>
        <w:rFonts w:ascii="Wingdings" w:hAnsi="Wingdings" w:hint="default"/>
      </w:rPr>
    </w:lvl>
    <w:lvl w:ilvl="3" w:tplc="F9443B32" w:tentative="1">
      <w:start w:val="1"/>
      <w:numFmt w:val="bullet"/>
      <w:lvlText w:val=""/>
      <w:lvlJc w:val="left"/>
      <w:pPr>
        <w:ind w:left="3797" w:hanging="360"/>
      </w:pPr>
      <w:rPr>
        <w:rFonts w:ascii="Symbol" w:hAnsi="Symbol" w:hint="default"/>
      </w:rPr>
    </w:lvl>
    <w:lvl w:ilvl="4" w:tplc="7806DEC0" w:tentative="1">
      <w:start w:val="1"/>
      <w:numFmt w:val="bullet"/>
      <w:lvlText w:val="o"/>
      <w:lvlJc w:val="left"/>
      <w:pPr>
        <w:ind w:left="4517" w:hanging="360"/>
      </w:pPr>
      <w:rPr>
        <w:rFonts w:ascii="Courier New" w:hAnsi="Courier New" w:cs="Courier New" w:hint="default"/>
      </w:rPr>
    </w:lvl>
    <w:lvl w:ilvl="5" w:tplc="F5069880" w:tentative="1">
      <w:start w:val="1"/>
      <w:numFmt w:val="bullet"/>
      <w:lvlText w:val=""/>
      <w:lvlJc w:val="left"/>
      <w:pPr>
        <w:ind w:left="5237" w:hanging="360"/>
      </w:pPr>
      <w:rPr>
        <w:rFonts w:ascii="Wingdings" w:hAnsi="Wingdings" w:hint="default"/>
      </w:rPr>
    </w:lvl>
    <w:lvl w:ilvl="6" w:tplc="07A0F92A" w:tentative="1">
      <w:start w:val="1"/>
      <w:numFmt w:val="bullet"/>
      <w:lvlText w:val=""/>
      <w:lvlJc w:val="left"/>
      <w:pPr>
        <w:ind w:left="5957" w:hanging="360"/>
      </w:pPr>
      <w:rPr>
        <w:rFonts w:ascii="Symbol" w:hAnsi="Symbol" w:hint="default"/>
      </w:rPr>
    </w:lvl>
    <w:lvl w:ilvl="7" w:tplc="5AD4E97A" w:tentative="1">
      <w:start w:val="1"/>
      <w:numFmt w:val="bullet"/>
      <w:lvlText w:val="o"/>
      <w:lvlJc w:val="left"/>
      <w:pPr>
        <w:ind w:left="6677" w:hanging="360"/>
      </w:pPr>
      <w:rPr>
        <w:rFonts w:ascii="Courier New" w:hAnsi="Courier New" w:cs="Courier New" w:hint="default"/>
      </w:rPr>
    </w:lvl>
    <w:lvl w:ilvl="8" w:tplc="7FE62FFE" w:tentative="1">
      <w:start w:val="1"/>
      <w:numFmt w:val="bullet"/>
      <w:lvlText w:val=""/>
      <w:lvlJc w:val="left"/>
      <w:pPr>
        <w:ind w:left="7397" w:hanging="360"/>
      </w:pPr>
      <w:rPr>
        <w:rFonts w:ascii="Wingdings" w:hAnsi="Wingdings" w:hint="default"/>
      </w:rPr>
    </w:lvl>
  </w:abstractNum>
  <w:abstractNum w:abstractNumId="4" w15:restartNumberingAfterBreak="0">
    <w:nsid w:val="1B5672DE"/>
    <w:multiLevelType w:val="hybridMultilevel"/>
    <w:tmpl w:val="E62A67BC"/>
    <w:lvl w:ilvl="0" w:tplc="89C022B4">
      <w:start w:val="1"/>
      <w:numFmt w:val="lowerLetter"/>
      <w:lvlText w:val="%1)"/>
      <w:lvlJc w:val="left"/>
      <w:pPr>
        <w:ind w:left="1638" w:hanging="721"/>
      </w:pPr>
      <w:rPr>
        <w:rFonts w:ascii="Arial" w:eastAsia="Arial" w:hAnsi="Arial" w:cs="Arial" w:hint="default"/>
        <w:spacing w:val="-1"/>
        <w:w w:val="100"/>
        <w:sz w:val="22"/>
        <w:szCs w:val="22"/>
        <w:lang w:val="en-GB" w:eastAsia="en-GB" w:bidi="en-GB"/>
      </w:rPr>
    </w:lvl>
    <w:lvl w:ilvl="1" w:tplc="BBAEA322">
      <w:numFmt w:val="bullet"/>
      <w:lvlText w:val="•"/>
      <w:lvlJc w:val="left"/>
      <w:pPr>
        <w:ind w:left="2630" w:hanging="721"/>
      </w:pPr>
      <w:rPr>
        <w:rFonts w:hint="default"/>
        <w:lang w:val="en-GB" w:eastAsia="en-GB" w:bidi="en-GB"/>
      </w:rPr>
    </w:lvl>
    <w:lvl w:ilvl="2" w:tplc="D54E96A6">
      <w:numFmt w:val="bullet"/>
      <w:lvlText w:val="•"/>
      <w:lvlJc w:val="left"/>
      <w:pPr>
        <w:ind w:left="3621" w:hanging="721"/>
      </w:pPr>
      <w:rPr>
        <w:rFonts w:hint="default"/>
        <w:lang w:val="en-GB" w:eastAsia="en-GB" w:bidi="en-GB"/>
      </w:rPr>
    </w:lvl>
    <w:lvl w:ilvl="3" w:tplc="D260245C">
      <w:numFmt w:val="bullet"/>
      <w:lvlText w:val="•"/>
      <w:lvlJc w:val="left"/>
      <w:pPr>
        <w:ind w:left="4612" w:hanging="721"/>
      </w:pPr>
      <w:rPr>
        <w:rFonts w:hint="default"/>
        <w:lang w:val="en-GB" w:eastAsia="en-GB" w:bidi="en-GB"/>
      </w:rPr>
    </w:lvl>
    <w:lvl w:ilvl="4" w:tplc="47168E26">
      <w:numFmt w:val="bullet"/>
      <w:lvlText w:val="•"/>
      <w:lvlJc w:val="left"/>
      <w:pPr>
        <w:ind w:left="5603" w:hanging="721"/>
      </w:pPr>
      <w:rPr>
        <w:rFonts w:hint="default"/>
        <w:lang w:val="en-GB" w:eastAsia="en-GB" w:bidi="en-GB"/>
      </w:rPr>
    </w:lvl>
    <w:lvl w:ilvl="5" w:tplc="ED8A829A">
      <w:numFmt w:val="bullet"/>
      <w:lvlText w:val="•"/>
      <w:lvlJc w:val="left"/>
      <w:pPr>
        <w:ind w:left="6594" w:hanging="721"/>
      </w:pPr>
      <w:rPr>
        <w:rFonts w:hint="default"/>
        <w:lang w:val="en-GB" w:eastAsia="en-GB" w:bidi="en-GB"/>
      </w:rPr>
    </w:lvl>
    <w:lvl w:ilvl="6" w:tplc="F664F60E">
      <w:numFmt w:val="bullet"/>
      <w:lvlText w:val="•"/>
      <w:lvlJc w:val="left"/>
      <w:pPr>
        <w:ind w:left="7585" w:hanging="721"/>
      </w:pPr>
      <w:rPr>
        <w:rFonts w:hint="default"/>
        <w:lang w:val="en-GB" w:eastAsia="en-GB" w:bidi="en-GB"/>
      </w:rPr>
    </w:lvl>
    <w:lvl w:ilvl="7" w:tplc="3FA86856">
      <w:numFmt w:val="bullet"/>
      <w:lvlText w:val="•"/>
      <w:lvlJc w:val="left"/>
      <w:pPr>
        <w:ind w:left="8576" w:hanging="721"/>
      </w:pPr>
      <w:rPr>
        <w:rFonts w:hint="default"/>
        <w:lang w:val="en-GB" w:eastAsia="en-GB" w:bidi="en-GB"/>
      </w:rPr>
    </w:lvl>
    <w:lvl w:ilvl="8" w:tplc="25208094">
      <w:numFmt w:val="bullet"/>
      <w:lvlText w:val="•"/>
      <w:lvlJc w:val="left"/>
      <w:pPr>
        <w:ind w:left="9567" w:hanging="721"/>
      </w:pPr>
      <w:rPr>
        <w:rFonts w:hint="default"/>
        <w:lang w:val="en-GB" w:eastAsia="en-GB" w:bidi="en-GB"/>
      </w:rPr>
    </w:lvl>
  </w:abstractNum>
  <w:abstractNum w:abstractNumId="5" w15:restartNumberingAfterBreak="0">
    <w:nsid w:val="1C32548C"/>
    <w:multiLevelType w:val="hybridMultilevel"/>
    <w:tmpl w:val="9200B04C"/>
    <w:lvl w:ilvl="0" w:tplc="8B7A2AB2">
      <w:start w:val="1"/>
      <w:numFmt w:val="bullet"/>
      <w:lvlText w:val=""/>
      <w:lvlJc w:val="left"/>
      <w:pPr>
        <w:ind w:left="2357" w:hanging="360"/>
      </w:pPr>
      <w:rPr>
        <w:rFonts w:ascii="Symbol" w:hAnsi="Symbol" w:hint="default"/>
      </w:rPr>
    </w:lvl>
    <w:lvl w:ilvl="1" w:tplc="6BDAEFEC" w:tentative="1">
      <w:start w:val="1"/>
      <w:numFmt w:val="bullet"/>
      <w:lvlText w:val="o"/>
      <w:lvlJc w:val="left"/>
      <w:pPr>
        <w:ind w:left="3077" w:hanging="360"/>
      </w:pPr>
      <w:rPr>
        <w:rFonts w:ascii="Courier New" w:hAnsi="Courier New" w:cs="Courier New" w:hint="default"/>
      </w:rPr>
    </w:lvl>
    <w:lvl w:ilvl="2" w:tplc="BA12F34E" w:tentative="1">
      <w:start w:val="1"/>
      <w:numFmt w:val="bullet"/>
      <w:lvlText w:val=""/>
      <w:lvlJc w:val="left"/>
      <w:pPr>
        <w:ind w:left="3797" w:hanging="360"/>
      </w:pPr>
      <w:rPr>
        <w:rFonts w:ascii="Wingdings" w:hAnsi="Wingdings" w:hint="default"/>
      </w:rPr>
    </w:lvl>
    <w:lvl w:ilvl="3" w:tplc="8EDAE484" w:tentative="1">
      <w:start w:val="1"/>
      <w:numFmt w:val="bullet"/>
      <w:lvlText w:val=""/>
      <w:lvlJc w:val="left"/>
      <w:pPr>
        <w:ind w:left="4517" w:hanging="360"/>
      </w:pPr>
      <w:rPr>
        <w:rFonts w:ascii="Symbol" w:hAnsi="Symbol" w:hint="default"/>
      </w:rPr>
    </w:lvl>
    <w:lvl w:ilvl="4" w:tplc="394EB840" w:tentative="1">
      <w:start w:val="1"/>
      <w:numFmt w:val="bullet"/>
      <w:lvlText w:val="o"/>
      <w:lvlJc w:val="left"/>
      <w:pPr>
        <w:ind w:left="5237" w:hanging="360"/>
      </w:pPr>
      <w:rPr>
        <w:rFonts w:ascii="Courier New" w:hAnsi="Courier New" w:cs="Courier New" w:hint="default"/>
      </w:rPr>
    </w:lvl>
    <w:lvl w:ilvl="5" w:tplc="0BDA2074" w:tentative="1">
      <w:start w:val="1"/>
      <w:numFmt w:val="bullet"/>
      <w:lvlText w:val=""/>
      <w:lvlJc w:val="left"/>
      <w:pPr>
        <w:ind w:left="5957" w:hanging="360"/>
      </w:pPr>
      <w:rPr>
        <w:rFonts w:ascii="Wingdings" w:hAnsi="Wingdings" w:hint="default"/>
      </w:rPr>
    </w:lvl>
    <w:lvl w:ilvl="6" w:tplc="70B43D04" w:tentative="1">
      <w:start w:val="1"/>
      <w:numFmt w:val="bullet"/>
      <w:lvlText w:val=""/>
      <w:lvlJc w:val="left"/>
      <w:pPr>
        <w:ind w:left="6677" w:hanging="360"/>
      </w:pPr>
      <w:rPr>
        <w:rFonts w:ascii="Symbol" w:hAnsi="Symbol" w:hint="default"/>
      </w:rPr>
    </w:lvl>
    <w:lvl w:ilvl="7" w:tplc="4E26A16E" w:tentative="1">
      <w:start w:val="1"/>
      <w:numFmt w:val="bullet"/>
      <w:lvlText w:val="o"/>
      <w:lvlJc w:val="left"/>
      <w:pPr>
        <w:ind w:left="7397" w:hanging="360"/>
      </w:pPr>
      <w:rPr>
        <w:rFonts w:ascii="Courier New" w:hAnsi="Courier New" w:cs="Courier New" w:hint="default"/>
      </w:rPr>
    </w:lvl>
    <w:lvl w:ilvl="8" w:tplc="A1B29F6A" w:tentative="1">
      <w:start w:val="1"/>
      <w:numFmt w:val="bullet"/>
      <w:lvlText w:val=""/>
      <w:lvlJc w:val="left"/>
      <w:pPr>
        <w:ind w:left="8117" w:hanging="360"/>
      </w:pPr>
      <w:rPr>
        <w:rFonts w:ascii="Wingdings" w:hAnsi="Wingdings" w:hint="default"/>
      </w:rPr>
    </w:lvl>
  </w:abstractNum>
  <w:abstractNum w:abstractNumId="6" w15:restartNumberingAfterBreak="0">
    <w:nsid w:val="28F8729E"/>
    <w:multiLevelType w:val="hybridMultilevel"/>
    <w:tmpl w:val="CAA80664"/>
    <w:lvl w:ilvl="0" w:tplc="F6DAD208">
      <w:start w:val="1"/>
      <w:numFmt w:val="lowerLetter"/>
      <w:lvlText w:val="%1)"/>
      <w:lvlJc w:val="left"/>
      <w:pPr>
        <w:ind w:left="917" w:hanging="1419"/>
      </w:pPr>
      <w:rPr>
        <w:rFonts w:ascii="Arial" w:eastAsia="Arial" w:hAnsi="Arial" w:cs="Arial" w:hint="default"/>
        <w:b/>
        <w:bCs/>
        <w:w w:val="99"/>
        <w:sz w:val="24"/>
        <w:szCs w:val="24"/>
        <w:lang w:val="en-GB" w:eastAsia="en-GB" w:bidi="en-GB"/>
      </w:rPr>
    </w:lvl>
    <w:lvl w:ilvl="1" w:tplc="030419E6">
      <w:numFmt w:val="bullet"/>
      <w:lvlText w:val="•"/>
      <w:lvlJc w:val="left"/>
      <w:pPr>
        <w:ind w:left="1982" w:hanging="1419"/>
      </w:pPr>
      <w:rPr>
        <w:rFonts w:hint="default"/>
        <w:lang w:val="en-GB" w:eastAsia="en-GB" w:bidi="en-GB"/>
      </w:rPr>
    </w:lvl>
    <w:lvl w:ilvl="2" w:tplc="EC10A9A0">
      <w:numFmt w:val="bullet"/>
      <w:lvlText w:val="•"/>
      <w:lvlJc w:val="left"/>
      <w:pPr>
        <w:ind w:left="3045" w:hanging="1419"/>
      </w:pPr>
      <w:rPr>
        <w:rFonts w:hint="default"/>
        <w:lang w:val="en-GB" w:eastAsia="en-GB" w:bidi="en-GB"/>
      </w:rPr>
    </w:lvl>
    <w:lvl w:ilvl="3" w:tplc="D22A5132">
      <w:numFmt w:val="bullet"/>
      <w:lvlText w:val="•"/>
      <w:lvlJc w:val="left"/>
      <w:pPr>
        <w:ind w:left="4108" w:hanging="1419"/>
      </w:pPr>
      <w:rPr>
        <w:rFonts w:hint="default"/>
        <w:lang w:val="en-GB" w:eastAsia="en-GB" w:bidi="en-GB"/>
      </w:rPr>
    </w:lvl>
    <w:lvl w:ilvl="4" w:tplc="619AC1B6">
      <w:numFmt w:val="bullet"/>
      <w:lvlText w:val="•"/>
      <w:lvlJc w:val="left"/>
      <w:pPr>
        <w:ind w:left="5171" w:hanging="1419"/>
      </w:pPr>
      <w:rPr>
        <w:rFonts w:hint="default"/>
        <w:lang w:val="en-GB" w:eastAsia="en-GB" w:bidi="en-GB"/>
      </w:rPr>
    </w:lvl>
    <w:lvl w:ilvl="5" w:tplc="0A1E9FD2">
      <w:numFmt w:val="bullet"/>
      <w:lvlText w:val="•"/>
      <w:lvlJc w:val="left"/>
      <w:pPr>
        <w:ind w:left="6234" w:hanging="1419"/>
      </w:pPr>
      <w:rPr>
        <w:rFonts w:hint="default"/>
        <w:lang w:val="en-GB" w:eastAsia="en-GB" w:bidi="en-GB"/>
      </w:rPr>
    </w:lvl>
    <w:lvl w:ilvl="6" w:tplc="C708F210">
      <w:numFmt w:val="bullet"/>
      <w:lvlText w:val="•"/>
      <w:lvlJc w:val="left"/>
      <w:pPr>
        <w:ind w:left="7297" w:hanging="1419"/>
      </w:pPr>
      <w:rPr>
        <w:rFonts w:hint="default"/>
        <w:lang w:val="en-GB" w:eastAsia="en-GB" w:bidi="en-GB"/>
      </w:rPr>
    </w:lvl>
    <w:lvl w:ilvl="7" w:tplc="DAC66098">
      <w:numFmt w:val="bullet"/>
      <w:lvlText w:val="•"/>
      <w:lvlJc w:val="left"/>
      <w:pPr>
        <w:ind w:left="8360" w:hanging="1419"/>
      </w:pPr>
      <w:rPr>
        <w:rFonts w:hint="default"/>
        <w:lang w:val="en-GB" w:eastAsia="en-GB" w:bidi="en-GB"/>
      </w:rPr>
    </w:lvl>
    <w:lvl w:ilvl="8" w:tplc="33FCA00E">
      <w:numFmt w:val="bullet"/>
      <w:lvlText w:val="•"/>
      <w:lvlJc w:val="left"/>
      <w:pPr>
        <w:ind w:left="9423" w:hanging="1419"/>
      </w:pPr>
      <w:rPr>
        <w:rFonts w:hint="default"/>
        <w:lang w:val="en-GB" w:eastAsia="en-GB" w:bidi="en-GB"/>
      </w:rPr>
    </w:lvl>
  </w:abstractNum>
  <w:abstractNum w:abstractNumId="7" w15:restartNumberingAfterBreak="0">
    <w:nsid w:val="31997692"/>
    <w:multiLevelType w:val="multilevel"/>
    <w:tmpl w:val="DEC601D0"/>
    <w:lvl w:ilvl="0">
      <w:start w:val="8"/>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2"/>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8" w15:restartNumberingAfterBreak="0">
    <w:nsid w:val="33947576"/>
    <w:multiLevelType w:val="hybridMultilevel"/>
    <w:tmpl w:val="3CDEA2C6"/>
    <w:lvl w:ilvl="0" w:tplc="61B27F36">
      <w:start w:val="1"/>
      <w:numFmt w:val="bullet"/>
      <w:lvlText w:val=""/>
      <w:lvlJc w:val="left"/>
      <w:pPr>
        <w:ind w:left="1637" w:hanging="360"/>
      </w:pPr>
      <w:rPr>
        <w:rFonts w:ascii="Symbol" w:hAnsi="Symbol" w:hint="default"/>
      </w:rPr>
    </w:lvl>
    <w:lvl w:ilvl="1" w:tplc="D7C43190">
      <w:start w:val="1"/>
      <w:numFmt w:val="bullet"/>
      <w:lvlText w:val="o"/>
      <w:lvlJc w:val="left"/>
      <w:pPr>
        <w:ind w:left="2357" w:hanging="360"/>
      </w:pPr>
      <w:rPr>
        <w:rFonts w:ascii="Courier New" w:hAnsi="Courier New" w:cs="Courier New" w:hint="default"/>
      </w:rPr>
    </w:lvl>
    <w:lvl w:ilvl="2" w:tplc="D6D8B014" w:tentative="1">
      <w:start w:val="1"/>
      <w:numFmt w:val="bullet"/>
      <w:lvlText w:val=""/>
      <w:lvlJc w:val="left"/>
      <w:pPr>
        <w:ind w:left="3077" w:hanging="360"/>
      </w:pPr>
      <w:rPr>
        <w:rFonts w:ascii="Wingdings" w:hAnsi="Wingdings" w:hint="default"/>
      </w:rPr>
    </w:lvl>
    <w:lvl w:ilvl="3" w:tplc="A432B74C" w:tentative="1">
      <w:start w:val="1"/>
      <w:numFmt w:val="bullet"/>
      <w:lvlText w:val=""/>
      <w:lvlJc w:val="left"/>
      <w:pPr>
        <w:ind w:left="3797" w:hanging="360"/>
      </w:pPr>
      <w:rPr>
        <w:rFonts w:ascii="Symbol" w:hAnsi="Symbol" w:hint="default"/>
      </w:rPr>
    </w:lvl>
    <w:lvl w:ilvl="4" w:tplc="78FCE8D8" w:tentative="1">
      <w:start w:val="1"/>
      <w:numFmt w:val="bullet"/>
      <w:lvlText w:val="o"/>
      <w:lvlJc w:val="left"/>
      <w:pPr>
        <w:ind w:left="4517" w:hanging="360"/>
      </w:pPr>
      <w:rPr>
        <w:rFonts w:ascii="Courier New" w:hAnsi="Courier New" w:cs="Courier New" w:hint="default"/>
      </w:rPr>
    </w:lvl>
    <w:lvl w:ilvl="5" w:tplc="3C922F70" w:tentative="1">
      <w:start w:val="1"/>
      <w:numFmt w:val="bullet"/>
      <w:lvlText w:val=""/>
      <w:lvlJc w:val="left"/>
      <w:pPr>
        <w:ind w:left="5237" w:hanging="360"/>
      </w:pPr>
      <w:rPr>
        <w:rFonts w:ascii="Wingdings" w:hAnsi="Wingdings" w:hint="default"/>
      </w:rPr>
    </w:lvl>
    <w:lvl w:ilvl="6" w:tplc="2DE4FFC4" w:tentative="1">
      <w:start w:val="1"/>
      <w:numFmt w:val="bullet"/>
      <w:lvlText w:val=""/>
      <w:lvlJc w:val="left"/>
      <w:pPr>
        <w:ind w:left="5957" w:hanging="360"/>
      </w:pPr>
      <w:rPr>
        <w:rFonts w:ascii="Symbol" w:hAnsi="Symbol" w:hint="default"/>
      </w:rPr>
    </w:lvl>
    <w:lvl w:ilvl="7" w:tplc="99168B34" w:tentative="1">
      <w:start w:val="1"/>
      <w:numFmt w:val="bullet"/>
      <w:lvlText w:val="o"/>
      <w:lvlJc w:val="left"/>
      <w:pPr>
        <w:ind w:left="6677" w:hanging="360"/>
      </w:pPr>
      <w:rPr>
        <w:rFonts w:ascii="Courier New" w:hAnsi="Courier New" w:cs="Courier New" w:hint="default"/>
      </w:rPr>
    </w:lvl>
    <w:lvl w:ilvl="8" w:tplc="B936D5D0" w:tentative="1">
      <w:start w:val="1"/>
      <w:numFmt w:val="bullet"/>
      <w:lvlText w:val=""/>
      <w:lvlJc w:val="left"/>
      <w:pPr>
        <w:ind w:left="7397" w:hanging="360"/>
      </w:pPr>
      <w:rPr>
        <w:rFonts w:ascii="Wingdings" w:hAnsi="Wingdings" w:hint="default"/>
      </w:rPr>
    </w:lvl>
  </w:abstractNum>
  <w:abstractNum w:abstractNumId="9" w15:restartNumberingAfterBreak="0">
    <w:nsid w:val="3CDD21B0"/>
    <w:multiLevelType w:val="multilevel"/>
    <w:tmpl w:val="1C7C22C6"/>
    <w:lvl w:ilvl="0">
      <w:start w:val="3"/>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1638" w:hanging="360"/>
      </w:pPr>
      <w:rPr>
        <w:rFonts w:ascii="Symbol" w:eastAsia="Symbol" w:hAnsi="Symbol" w:cs="Symbol" w:hint="default"/>
        <w:w w:val="100"/>
        <w:sz w:val="22"/>
        <w:szCs w:val="22"/>
        <w:lang w:val="en-GB" w:eastAsia="en-GB" w:bidi="en-GB"/>
      </w:rPr>
    </w:lvl>
    <w:lvl w:ilvl="3">
      <w:numFmt w:val="bullet"/>
      <w:lvlText w:val="•"/>
      <w:lvlJc w:val="left"/>
      <w:pPr>
        <w:ind w:left="4612" w:hanging="360"/>
      </w:pPr>
      <w:rPr>
        <w:rFonts w:hint="default"/>
        <w:lang w:val="en-GB" w:eastAsia="en-GB" w:bidi="en-GB"/>
      </w:rPr>
    </w:lvl>
    <w:lvl w:ilvl="4">
      <w:numFmt w:val="bullet"/>
      <w:lvlText w:val="•"/>
      <w:lvlJc w:val="left"/>
      <w:pPr>
        <w:ind w:left="5603" w:hanging="360"/>
      </w:pPr>
      <w:rPr>
        <w:rFonts w:hint="default"/>
        <w:lang w:val="en-GB" w:eastAsia="en-GB" w:bidi="en-GB"/>
      </w:rPr>
    </w:lvl>
    <w:lvl w:ilvl="5">
      <w:numFmt w:val="bullet"/>
      <w:lvlText w:val="•"/>
      <w:lvlJc w:val="left"/>
      <w:pPr>
        <w:ind w:left="6594" w:hanging="360"/>
      </w:pPr>
      <w:rPr>
        <w:rFonts w:hint="default"/>
        <w:lang w:val="en-GB" w:eastAsia="en-GB" w:bidi="en-GB"/>
      </w:rPr>
    </w:lvl>
    <w:lvl w:ilvl="6">
      <w:numFmt w:val="bullet"/>
      <w:lvlText w:val="•"/>
      <w:lvlJc w:val="left"/>
      <w:pPr>
        <w:ind w:left="7585" w:hanging="360"/>
      </w:pPr>
      <w:rPr>
        <w:rFonts w:hint="default"/>
        <w:lang w:val="en-GB" w:eastAsia="en-GB" w:bidi="en-GB"/>
      </w:rPr>
    </w:lvl>
    <w:lvl w:ilvl="7">
      <w:numFmt w:val="bullet"/>
      <w:lvlText w:val="•"/>
      <w:lvlJc w:val="left"/>
      <w:pPr>
        <w:ind w:left="8576" w:hanging="360"/>
      </w:pPr>
      <w:rPr>
        <w:rFonts w:hint="default"/>
        <w:lang w:val="en-GB" w:eastAsia="en-GB" w:bidi="en-GB"/>
      </w:rPr>
    </w:lvl>
    <w:lvl w:ilvl="8">
      <w:numFmt w:val="bullet"/>
      <w:lvlText w:val="•"/>
      <w:lvlJc w:val="left"/>
      <w:pPr>
        <w:ind w:left="9567" w:hanging="360"/>
      </w:pPr>
      <w:rPr>
        <w:rFonts w:hint="default"/>
        <w:lang w:val="en-GB" w:eastAsia="en-GB" w:bidi="en-GB"/>
      </w:rPr>
    </w:lvl>
  </w:abstractNum>
  <w:abstractNum w:abstractNumId="10" w15:restartNumberingAfterBreak="0">
    <w:nsid w:val="49864B6C"/>
    <w:multiLevelType w:val="hybridMultilevel"/>
    <w:tmpl w:val="7FC09000"/>
    <w:lvl w:ilvl="0" w:tplc="517EA8F0">
      <w:numFmt w:val="bullet"/>
      <w:lvlText w:val=""/>
      <w:lvlJc w:val="left"/>
      <w:pPr>
        <w:ind w:left="1638" w:hanging="360"/>
      </w:pPr>
      <w:rPr>
        <w:rFonts w:ascii="Symbol" w:eastAsia="Symbol" w:hAnsi="Symbol" w:cs="Symbol" w:hint="default"/>
        <w:w w:val="100"/>
        <w:sz w:val="22"/>
        <w:szCs w:val="22"/>
        <w:lang w:val="en-GB" w:eastAsia="en-GB" w:bidi="en-GB"/>
      </w:rPr>
    </w:lvl>
    <w:lvl w:ilvl="1" w:tplc="8F80AEFC">
      <w:numFmt w:val="bullet"/>
      <w:lvlText w:val="•"/>
      <w:lvlJc w:val="left"/>
      <w:pPr>
        <w:ind w:left="2630" w:hanging="360"/>
      </w:pPr>
      <w:rPr>
        <w:rFonts w:hint="default"/>
        <w:lang w:val="en-GB" w:eastAsia="en-GB" w:bidi="en-GB"/>
      </w:rPr>
    </w:lvl>
    <w:lvl w:ilvl="2" w:tplc="78D8894A">
      <w:numFmt w:val="bullet"/>
      <w:lvlText w:val="•"/>
      <w:lvlJc w:val="left"/>
      <w:pPr>
        <w:ind w:left="3621" w:hanging="360"/>
      </w:pPr>
      <w:rPr>
        <w:rFonts w:hint="default"/>
        <w:lang w:val="en-GB" w:eastAsia="en-GB" w:bidi="en-GB"/>
      </w:rPr>
    </w:lvl>
    <w:lvl w:ilvl="3" w:tplc="4F828070">
      <w:numFmt w:val="bullet"/>
      <w:lvlText w:val="•"/>
      <w:lvlJc w:val="left"/>
      <w:pPr>
        <w:ind w:left="4612" w:hanging="360"/>
      </w:pPr>
      <w:rPr>
        <w:rFonts w:hint="default"/>
        <w:lang w:val="en-GB" w:eastAsia="en-GB" w:bidi="en-GB"/>
      </w:rPr>
    </w:lvl>
    <w:lvl w:ilvl="4" w:tplc="B010F542">
      <w:numFmt w:val="bullet"/>
      <w:lvlText w:val="•"/>
      <w:lvlJc w:val="left"/>
      <w:pPr>
        <w:ind w:left="5603" w:hanging="360"/>
      </w:pPr>
      <w:rPr>
        <w:rFonts w:hint="default"/>
        <w:lang w:val="en-GB" w:eastAsia="en-GB" w:bidi="en-GB"/>
      </w:rPr>
    </w:lvl>
    <w:lvl w:ilvl="5" w:tplc="68FC2490">
      <w:numFmt w:val="bullet"/>
      <w:lvlText w:val="•"/>
      <w:lvlJc w:val="left"/>
      <w:pPr>
        <w:ind w:left="6594" w:hanging="360"/>
      </w:pPr>
      <w:rPr>
        <w:rFonts w:hint="default"/>
        <w:lang w:val="en-GB" w:eastAsia="en-GB" w:bidi="en-GB"/>
      </w:rPr>
    </w:lvl>
    <w:lvl w:ilvl="6" w:tplc="35AC5662">
      <w:numFmt w:val="bullet"/>
      <w:lvlText w:val="•"/>
      <w:lvlJc w:val="left"/>
      <w:pPr>
        <w:ind w:left="7585" w:hanging="360"/>
      </w:pPr>
      <w:rPr>
        <w:rFonts w:hint="default"/>
        <w:lang w:val="en-GB" w:eastAsia="en-GB" w:bidi="en-GB"/>
      </w:rPr>
    </w:lvl>
    <w:lvl w:ilvl="7" w:tplc="4D005F06">
      <w:numFmt w:val="bullet"/>
      <w:lvlText w:val="•"/>
      <w:lvlJc w:val="left"/>
      <w:pPr>
        <w:ind w:left="8576" w:hanging="360"/>
      </w:pPr>
      <w:rPr>
        <w:rFonts w:hint="default"/>
        <w:lang w:val="en-GB" w:eastAsia="en-GB" w:bidi="en-GB"/>
      </w:rPr>
    </w:lvl>
    <w:lvl w:ilvl="8" w:tplc="DC8A1B60">
      <w:numFmt w:val="bullet"/>
      <w:lvlText w:val="•"/>
      <w:lvlJc w:val="left"/>
      <w:pPr>
        <w:ind w:left="9567" w:hanging="360"/>
      </w:pPr>
      <w:rPr>
        <w:rFonts w:hint="default"/>
        <w:lang w:val="en-GB" w:eastAsia="en-GB" w:bidi="en-GB"/>
      </w:rPr>
    </w:lvl>
  </w:abstractNum>
  <w:abstractNum w:abstractNumId="11" w15:restartNumberingAfterBreak="0">
    <w:nsid w:val="4AB95AA6"/>
    <w:multiLevelType w:val="hybridMultilevel"/>
    <w:tmpl w:val="D994A33A"/>
    <w:lvl w:ilvl="0" w:tplc="435C6E14">
      <w:numFmt w:val="bullet"/>
      <w:lvlText w:val=""/>
      <w:lvlJc w:val="left"/>
      <w:pPr>
        <w:ind w:left="1638" w:hanging="360"/>
      </w:pPr>
      <w:rPr>
        <w:rFonts w:ascii="Symbol" w:eastAsia="Symbol" w:hAnsi="Symbol" w:cs="Symbol" w:hint="default"/>
        <w:w w:val="100"/>
        <w:sz w:val="22"/>
        <w:szCs w:val="22"/>
        <w:lang w:val="en-GB" w:eastAsia="en-GB" w:bidi="en-GB"/>
      </w:rPr>
    </w:lvl>
    <w:lvl w:ilvl="1" w:tplc="6F04596A">
      <w:numFmt w:val="bullet"/>
      <w:lvlText w:val="•"/>
      <w:lvlJc w:val="left"/>
      <w:pPr>
        <w:ind w:left="2630" w:hanging="360"/>
      </w:pPr>
      <w:rPr>
        <w:rFonts w:hint="default"/>
        <w:lang w:val="en-GB" w:eastAsia="en-GB" w:bidi="en-GB"/>
      </w:rPr>
    </w:lvl>
    <w:lvl w:ilvl="2" w:tplc="C2C8F60E">
      <w:numFmt w:val="bullet"/>
      <w:lvlText w:val="•"/>
      <w:lvlJc w:val="left"/>
      <w:pPr>
        <w:ind w:left="3621" w:hanging="360"/>
      </w:pPr>
      <w:rPr>
        <w:rFonts w:hint="default"/>
        <w:lang w:val="en-GB" w:eastAsia="en-GB" w:bidi="en-GB"/>
      </w:rPr>
    </w:lvl>
    <w:lvl w:ilvl="3" w:tplc="42A08A62">
      <w:numFmt w:val="bullet"/>
      <w:lvlText w:val="•"/>
      <w:lvlJc w:val="left"/>
      <w:pPr>
        <w:ind w:left="4612" w:hanging="360"/>
      </w:pPr>
      <w:rPr>
        <w:rFonts w:hint="default"/>
        <w:lang w:val="en-GB" w:eastAsia="en-GB" w:bidi="en-GB"/>
      </w:rPr>
    </w:lvl>
    <w:lvl w:ilvl="4" w:tplc="66982C24">
      <w:numFmt w:val="bullet"/>
      <w:lvlText w:val="•"/>
      <w:lvlJc w:val="left"/>
      <w:pPr>
        <w:ind w:left="5603" w:hanging="360"/>
      </w:pPr>
      <w:rPr>
        <w:rFonts w:hint="default"/>
        <w:lang w:val="en-GB" w:eastAsia="en-GB" w:bidi="en-GB"/>
      </w:rPr>
    </w:lvl>
    <w:lvl w:ilvl="5" w:tplc="E886E934">
      <w:numFmt w:val="bullet"/>
      <w:lvlText w:val="•"/>
      <w:lvlJc w:val="left"/>
      <w:pPr>
        <w:ind w:left="6594" w:hanging="360"/>
      </w:pPr>
      <w:rPr>
        <w:rFonts w:hint="default"/>
        <w:lang w:val="en-GB" w:eastAsia="en-GB" w:bidi="en-GB"/>
      </w:rPr>
    </w:lvl>
    <w:lvl w:ilvl="6" w:tplc="179279A6">
      <w:numFmt w:val="bullet"/>
      <w:lvlText w:val="•"/>
      <w:lvlJc w:val="left"/>
      <w:pPr>
        <w:ind w:left="7585" w:hanging="360"/>
      </w:pPr>
      <w:rPr>
        <w:rFonts w:hint="default"/>
        <w:lang w:val="en-GB" w:eastAsia="en-GB" w:bidi="en-GB"/>
      </w:rPr>
    </w:lvl>
    <w:lvl w:ilvl="7" w:tplc="78ACB8E4">
      <w:numFmt w:val="bullet"/>
      <w:lvlText w:val="•"/>
      <w:lvlJc w:val="left"/>
      <w:pPr>
        <w:ind w:left="8576" w:hanging="360"/>
      </w:pPr>
      <w:rPr>
        <w:rFonts w:hint="default"/>
        <w:lang w:val="en-GB" w:eastAsia="en-GB" w:bidi="en-GB"/>
      </w:rPr>
    </w:lvl>
    <w:lvl w:ilvl="8" w:tplc="B78E3724">
      <w:numFmt w:val="bullet"/>
      <w:lvlText w:val="•"/>
      <w:lvlJc w:val="left"/>
      <w:pPr>
        <w:ind w:left="9567" w:hanging="360"/>
      </w:pPr>
      <w:rPr>
        <w:rFonts w:hint="default"/>
        <w:lang w:val="en-GB" w:eastAsia="en-GB" w:bidi="en-GB"/>
      </w:rPr>
    </w:lvl>
  </w:abstractNum>
  <w:abstractNum w:abstractNumId="12" w15:restartNumberingAfterBreak="0">
    <w:nsid w:val="502C5E7D"/>
    <w:multiLevelType w:val="multilevel"/>
    <w:tmpl w:val="5AC00AFA"/>
    <w:lvl w:ilvl="0">
      <w:start w:val="2"/>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13" w15:restartNumberingAfterBreak="0">
    <w:nsid w:val="52CD486E"/>
    <w:multiLevelType w:val="multilevel"/>
    <w:tmpl w:val="9C18AE60"/>
    <w:lvl w:ilvl="0">
      <w:start w:val="11"/>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ascii="Arial" w:eastAsia="Arial" w:hAnsi="Arial" w:cs="Arial" w:hint="default"/>
        <w:b/>
        <w:bCs/>
        <w:w w:val="99"/>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14" w15:restartNumberingAfterBreak="0">
    <w:nsid w:val="56735363"/>
    <w:multiLevelType w:val="hybridMultilevel"/>
    <w:tmpl w:val="A5345E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6C75504"/>
    <w:multiLevelType w:val="hybridMultilevel"/>
    <w:tmpl w:val="6C5093A8"/>
    <w:lvl w:ilvl="0" w:tplc="D742BAB4">
      <w:start w:val="1"/>
      <w:numFmt w:val="bullet"/>
      <w:lvlText w:val=""/>
      <w:lvlJc w:val="left"/>
      <w:pPr>
        <w:ind w:left="1637" w:hanging="360"/>
      </w:pPr>
      <w:rPr>
        <w:rFonts w:ascii="Symbol" w:hAnsi="Symbol" w:hint="default"/>
      </w:rPr>
    </w:lvl>
    <w:lvl w:ilvl="1" w:tplc="1A0A79F8" w:tentative="1">
      <w:start w:val="1"/>
      <w:numFmt w:val="bullet"/>
      <w:lvlText w:val="o"/>
      <w:lvlJc w:val="left"/>
      <w:pPr>
        <w:ind w:left="2357" w:hanging="360"/>
      </w:pPr>
      <w:rPr>
        <w:rFonts w:ascii="Courier New" w:hAnsi="Courier New" w:cs="Courier New" w:hint="default"/>
      </w:rPr>
    </w:lvl>
    <w:lvl w:ilvl="2" w:tplc="BB60DD52" w:tentative="1">
      <w:start w:val="1"/>
      <w:numFmt w:val="bullet"/>
      <w:lvlText w:val=""/>
      <w:lvlJc w:val="left"/>
      <w:pPr>
        <w:ind w:left="3077" w:hanging="360"/>
      </w:pPr>
      <w:rPr>
        <w:rFonts w:ascii="Wingdings" w:hAnsi="Wingdings" w:hint="default"/>
      </w:rPr>
    </w:lvl>
    <w:lvl w:ilvl="3" w:tplc="21225D18" w:tentative="1">
      <w:start w:val="1"/>
      <w:numFmt w:val="bullet"/>
      <w:lvlText w:val=""/>
      <w:lvlJc w:val="left"/>
      <w:pPr>
        <w:ind w:left="3797" w:hanging="360"/>
      </w:pPr>
      <w:rPr>
        <w:rFonts w:ascii="Symbol" w:hAnsi="Symbol" w:hint="default"/>
      </w:rPr>
    </w:lvl>
    <w:lvl w:ilvl="4" w:tplc="C5C82210" w:tentative="1">
      <w:start w:val="1"/>
      <w:numFmt w:val="bullet"/>
      <w:lvlText w:val="o"/>
      <w:lvlJc w:val="left"/>
      <w:pPr>
        <w:ind w:left="4517" w:hanging="360"/>
      </w:pPr>
      <w:rPr>
        <w:rFonts w:ascii="Courier New" w:hAnsi="Courier New" w:cs="Courier New" w:hint="default"/>
      </w:rPr>
    </w:lvl>
    <w:lvl w:ilvl="5" w:tplc="42529C06" w:tentative="1">
      <w:start w:val="1"/>
      <w:numFmt w:val="bullet"/>
      <w:lvlText w:val=""/>
      <w:lvlJc w:val="left"/>
      <w:pPr>
        <w:ind w:left="5237" w:hanging="360"/>
      </w:pPr>
      <w:rPr>
        <w:rFonts w:ascii="Wingdings" w:hAnsi="Wingdings" w:hint="default"/>
      </w:rPr>
    </w:lvl>
    <w:lvl w:ilvl="6" w:tplc="13E80AAA" w:tentative="1">
      <w:start w:val="1"/>
      <w:numFmt w:val="bullet"/>
      <w:lvlText w:val=""/>
      <w:lvlJc w:val="left"/>
      <w:pPr>
        <w:ind w:left="5957" w:hanging="360"/>
      </w:pPr>
      <w:rPr>
        <w:rFonts w:ascii="Symbol" w:hAnsi="Symbol" w:hint="default"/>
      </w:rPr>
    </w:lvl>
    <w:lvl w:ilvl="7" w:tplc="5F406F38" w:tentative="1">
      <w:start w:val="1"/>
      <w:numFmt w:val="bullet"/>
      <w:lvlText w:val="o"/>
      <w:lvlJc w:val="left"/>
      <w:pPr>
        <w:ind w:left="6677" w:hanging="360"/>
      </w:pPr>
      <w:rPr>
        <w:rFonts w:ascii="Courier New" w:hAnsi="Courier New" w:cs="Courier New" w:hint="default"/>
      </w:rPr>
    </w:lvl>
    <w:lvl w:ilvl="8" w:tplc="0F021860" w:tentative="1">
      <w:start w:val="1"/>
      <w:numFmt w:val="bullet"/>
      <w:lvlText w:val=""/>
      <w:lvlJc w:val="left"/>
      <w:pPr>
        <w:ind w:left="7397" w:hanging="360"/>
      </w:pPr>
      <w:rPr>
        <w:rFonts w:ascii="Wingdings" w:hAnsi="Wingdings" w:hint="default"/>
      </w:rPr>
    </w:lvl>
  </w:abstractNum>
  <w:abstractNum w:abstractNumId="16" w15:restartNumberingAfterBreak="0">
    <w:nsid w:val="5DBB0EDF"/>
    <w:multiLevelType w:val="multilevel"/>
    <w:tmpl w:val="36D27EBA"/>
    <w:lvl w:ilvl="0">
      <w:start w:val="2"/>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hint="default"/>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1998" w:hanging="360"/>
      </w:pPr>
      <w:rPr>
        <w:rFonts w:ascii="Arial" w:eastAsia="Arial" w:hAnsi="Arial" w:cs="Arial" w:hint="default"/>
        <w:w w:val="100"/>
        <w:sz w:val="22"/>
        <w:szCs w:val="22"/>
        <w:lang w:val="en-GB" w:eastAsia="en-GB" w:bidi="en-GB"/>
      </w:rPr>
    </w:lvl>
    <w:lvl w:ilvl="4">
      <w:numFmt w:val="bullet"/>
      <w:lvlText w:val="•"/>
      <w:lvlJc w:val="left"/>
      <w:pPr>
        <w:ind w:left="5182" w:hanging="360"/>
      </w:pPr>
      <w:rPr>
        <w:rFonts w:hint="default"/>
        <w:lang w:val="en-GB" w:eastAsia="en-GB" w:bidi="en-GB"/>
      </w:rPr>
    </w:lvl>
    <w:lvl w:ilvl="5">
      <w:numFmt w:val="bullet"/>
      <w:lvlText w:val="•"/>
      <w:lvlJc w:val="left"/>
      <w:pPr>
        <w:ind w:left="6243" w:hanging="360"/>
      </w:pPr>
      <w:rPr>
        <w:rFonts w:hint="default"/>
        <w:lang w:val="en-GB" w:eastAsia="en-GB" w:bidi="en-GB"/>
      </w:rPr>
    </w:lvl>
    <w:lvl w:ilvl="6">
      <w:numFmt w:val="bullet"/>
      <w:lvlText w:val="•"/>
      <w:lvlJc w:val="left"/>
      <w:pPr>
        <w:ind w:left="7304" w:hanging="360"/>
      </w:pPr>
      <w:rPr>
        <w:rFonts w:hint="default"/>
        <w:lang w:val="en-GB" w:eastAsia="en-GB" w:bidi="en-GB"/>
      </w:rPr>
    </w:lvl>
    <w:lvl w:ilvl="7">
      <w:numFmt w:val="bullet"/>
      <w:lvlText w:val="•"/>
      <w:lvlJc w:val="left"/>
      <w:pPr>
        <w:ind w:left="8365" w:hanging="360"/>
      </w:pPr>
      <w:rPr>
        <w:rFonts w:hint="default"/>
        <w:lang w:val="en-GB" w:eastAsia="en-GB" w:bidi="en-GB"/>
      </w:rPr>
    </w:lvl>
    <w:lvl w:ilvl="8">
      <w:numFmt w:val="bullet"/>
      <w:lvlText w:val="•"/>
      <w:lvlJc w:val="left"/>
      <w:pPr>
        <w:ind w:left="9426" w:hanging="360"/>
      </w:pPr>
      <w:rPr>
        <w:rFonts w:hint="default"/>
        <w:lang w:val="en-GB" w:eastAsia="en-GB" w:bidi="en-GB"/>
      </w:rPr>
    </w:lvl>
  </w:abstractNum>
  <w:abstractNum w:abstractNumId="17" w15:restartNumberingAfterBreak="0">
    <w:nsid w:val="6260407B"/>
    <w:multiLevelType w:val="multilevel"/>
    <w:tmpl w:val="FC4E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54E9D"/>
    <w:multiLevelType w:val="hybridMultilevel"/>
    <w:tmpl w:val="2C7E5CD6"/>
    <w:lvl w:ilvl="0" w:tplc="91D8A508">
      <w:start w:val="1"/>
      <w:numFmt w:val="bullet"/>
      <w:lvlText w:val=""/>
      <w:lvlJc w:val="left"/>
      <w:pPr>
        <w:ind w:left="1637" w:hanging="360"/>
      </w:pPr>
      <w:rPr>
        <w:rFonts w:ascii="Symbol" w:hAnsi="Symbol" w:hint="default"/>
      </w:rPr>
    </w:lvl>
    <w:lvl w:ilvl="1" w:tplc="D15EC1E8" w:tentative="1">
      <w:start w:val="1"/>
      <w:numFmt w:val="bullet"/>
      <w:lvlText w:val="o"/>
      <w:lvlJc w:val="left"/>
      <w:pPr>
        <w:ind w:left="2357" w:hanging="360"/>
      </w:pPr>
      <w:rPr>
        <w:rFonts w:ascii="Courier New" w:hAnsi="Courier New" w:cs="Courier New" w:hint="default"/>
      </w:rPr>
    </w:lvl>
    <w:lvl w:ilvl="2" w:tplc="5CFA73FE" w:tentative="1">
      <w:start w:val="1"/>
      <w:numFmt w:val="bullet"/>
      <w:lvlText w:val=""/>
      <w:lvlJc w:val="left"/>
      <w:pPr>
        <w:ind w:left="3077" w:hanging="360"/>
      </w:pPr>
      <w:rPr>
        <w:rFonts w:ascii="Wingdings" w:hAnsi="Wingdings" w:hint="default"/>
      </w:rPr>
    </w:lvl>
    <w:lvl w:ilvl="3" w:tplc="6F0694C6" w:tentative="1">
      <w:start w:val="1"/>
      <w:numFmt w:val="bullet"/>
      <w:lvlText w:val=""/>
      <w:lvlJc w:val="left"/>
      <w:pPr>
        <w:ind w:left="3797" w:hanging="360"/>
      </w:pPr>
      <w:rPr>
        <w:rFonts w:ascii="Symbol" w:hAnsi="Symbol" w:hint="default"/>
      </w:rPr>
    </w:lvl>
    <w:lvl w:ilvl="4" w:tplc="007A93A6" w:tentative="1">
      <w:start w:val="1"/>
      <w:numFmt w:val="bullet"/>
      <w:lvlText w:val="o"/>
      <w:lvlJc w:val="left"/>
      <w:pPr>
        <w:ind w:left="4517" w:hanging="360"/>
      </w:pPr>
      <w:rPr>
        <w:rFonts w:ascii="Courier New" w:hAnsi="Courier New" w:cs="Courier New" w:hint="default"/>
      </w:rPr>
    </w:lvl>
    <w:lvl w:ilvl="5" w:tplc="B03A45AA" w:tentative="1">
      <w:start w:val="1"/>
      <w:numFmt w:val="bullet"/>
      <w:lvlText w:val=""/>
      <w:lvlJc w:val="left"/>
      <w:pPr>
        <w:ind w:left="5237" w:hanging="360"/>
      </w:pPr>
      <w:rPr>
        <w:rFonts w:ascii="Wingdings" w:hAnsi="Wingdings" w:hint="default"/>
      </w:rPr>
    </w:lvl>
    <w:lvl w:ilvl="6" w:tplc="F73C7FB8" w:tentative="1">
      <w:start w:val="1"/>
      <w:numFmt w:val="bullet"/>
      <w:lvlText w:val=""/>
      <w:lvlJc w:val="left"/>
      <w:pPr>
        <w:ind w:left="5957" w:hanging="360"/>
      </w:pPr>
      <w:rPr>
        <w:rFonts w:ascii="Symbol" w:hAnsi="Symbol" w:hint="default"/>
      </w:rPr>
    </w:lvl>
    <w:lvl w:ilvl="7" w:tplc="4FE0A7BC" w:tentative="1">
      <w:start w:val="1"/>
      <w:numFmt w:val="bullet"/>
      <w:lvlText w:val="o"/>
      <w:lvlJc w:val="left"/>
      <w:pPr>
        <w:ind w:left="6677" w:hanging="360"/>
      </w:pPr>
      <w:rPr>
        <w:rFonts w:ascii="Courier New" w:hAnsi="Courier New" w:cs="Courier New" w:hint="default"/>
      </w:rPr>
    </w:lvl>
    <w:lvl w:ilvl="8" w:tplc="5192AB86" w:tentative="1">
      <w:start w:val="1"/>
      <w:numFmt w:val="bullet"/>
      <w:lvlText w:val=""/>
      <w:lvlJc w:val="left"/>
      <w:pPr>
        <w:ind w:left="7397" w:hanging="360"/>
      </w:pPr>
      <w:rPr>
        <w:rFonts w:ascii="Wingdings" w:hAnsi="Wingdings" w:hint="default"/>
      </w:rPr>
    </w:lvl>
  </w:abstractNum>
  <w:abstractNum w:abstractNumId="19" w15:restartNumberingAfterBreak="0">
    <w:nsid w:val="6EED3AFC"/>
    <w:multiLevelType w:val="multilevel"/>
    <w:tmpl w:val="489639FC"/>
    <w:lvl w:ilvl="0">
      <w:start w:val="4"/>
      <w:numFmt w:val="decimal"/>
      <w:lvlText w:val="%1."/>
      <w:lvlJc w:val="left"/>
      <w:pPr>
        <w:ind w:left="917" w:hanging="721"/>
      </w:pPr>
      <w:rPr>
        <w:rFonts w:ascii="Arial" w:eastAsia="Arial" w:hAnsi="Arial" w:cs="Arial" w:hint="default"/>
        <w:b/>
        <w:bCs/>
        <w:spacing w:val="-1"/>
        <w:w w:val="99"/>
        <w:sz w:val="36"/>
        <w:szCs w:val="36"/>
        <w:lang w:val="en-GB" w:eastAsia="en-GB" w:bidi="en-GB"/>
      </w:rPr>
    </w:lvl>
    <w:lvl w:ilvl="1">
      <w:start w:val="1"/>
      <w:numFmt w:val="decimal"/>
      <w:lvlText w:val="%1.%2"/>
      <w:lvlJc w:val="left"/>
      <w:pPr>
        <w:ind w:left="1638" w:hanging="721"/>
      </w:pPr>
      <w:rPr>
        <w:rFonts w:hint="default"/>
        <w:b/>
        <w:bCs/>
        <w:w w:val="99"/>
        <w:lang w:val="en-GB" w:eastAsia="en-GB" w:bidi="en-GB"/>
      </w:rPr>
    </w:lvl>
    <w:lvl w:ilvl="2">
      <w:numFmt w:val="bullet"/>
      <w:lvlText w:val=""/>
      <w:lvlJc w:val="left"/>
      <w:pPr>
        <w:ind w:left="1638" w:hanging="721"/>
      </w:pPr>
      <w:rPr>
        <w:rFonts w:ascii="Symbol" w:eastAsia="Symbol" w:hAnsi="Symbol" w:cs="Symbol" w:hint="default"/>
        <w:w w:val="100"/>
        <w:sz w:val="22"/>
        <w:szCs w:val="22"/>
        <w:lang w:val="en-GB" w:eastAsia="en-GB" w:bidi="en-GB"/>
      </w:rPr>
    </w:lvl>
    <w:lvl w:ilvl="3">
      <w:numFmt w:val="bullet"/>
      <w:lvlText w:val="•"/>
      <w:lvlJc w:val="left"/>
      <w:pPr>
        <w:ind w:left="3841" w:hanging="721"/>
      </w:pPr>
      <w:rPr>
        <w:rFonts w:hint="default"/>
        <w:lang w:val="en-GB" w:eastAsia="en-GB" w:bidi="en-GB"/>
      </w:rPr>
    </w:lvl>
    <w:lvl w:ilvl="4">
      <w:numFmt w:val="bullet"/>
      <w:lvlText w:val="•"/>
      <w:lvlJc w:val="left"/>
      <w:pPr>
        <w:ind w:left="4942" w:hanging="721"/>
      </w:pPr>
      <w:rPr>
        <w:rFonts w:hint="default"/>
        <w:lang w:val="en-GB" w:eastAsia="en-GB" w:bidi="en-GB"/>
      </w:rPr>
    </w:lvl>
    <w:lvl w:ilvl="5">
      <w:numFmt w:val="bullet"/>
      <w:lvlText w:val="•"/>
      <w:lvlJc w:val="left"/>
      <w:pPr>
        <w:ind w:left="6043" w:hanging="721"/>
      </w:pPr>
      <w:rPr>
        <w:rFonts w:hint="default"/>
        <w:lang w:val="en-GB" w:eastAsia="en-GB" w:bidi="en-GB"/>
      </w:rPr>
    </w:lvl>
    <w:lvl w:ilvl="6">
      <w:numFmt w:val="bullet"/>
      <w:lvlText w:val="•"/>
      <w:lvlJc w:val="left"/>
      <w:pPr>
        <w:ind w:left="7144" w:hanging="721"/>
      </w:pPr>
      <w:rPr>
        <w:rFonts w:hint="default"/>
        <w:lang w:val="en-GB" w:eastAsia="en-GB" w:bidi="en-GB"/>
      </w:rPr>
    </w:lvl>
    <w:lvl w:ilvl="7">
      <w:numFmt w:val="bullet"/>
      <w:lvlText w:val="•"/>
      <w:lvlJc w:val="left"/>
      <w:pPr>
        <w:ind w:left="8245" w:hanging="721"/>
      </w:pPr>
      <w:rPr>
        <w:rFonts w:hint="default"/>
        <w:lang w:val="en-GB" w:eastAsia="en-GB" w:bidi="en-GB"/>
      </w:rPr>
    </w:lvl>
    <w:lvl w:ilvl="8">
      <w:numFmt w:val="bullet"/>
      <w:lvlText w:val="•"/>
      <w:lvlJc w:val="left"/>
      <w:pPr>
        <w:ind w:left="9346" w:hanging="721"/>
      </w:pPr>
      <w:rPr>
        <w:rFonts w:hint="default"/>
        <w:lang w:val="en-GB" w:eastAsia="en-GB" w:bidi="en-GB"/>
      </w:rPr>
    </w:lvl>
  </w:abstractNum>
  <w:abstractNum w:abstractNumId="20" w15:restartNumberingAfterBreak="0">
    <w:nsid w:val="77FF360B"/>
    <w:multiLevelType w:val="hybridMultilevel"/>
    <w:tmpl w:val="7F045E6E"/>
    <w:lvl w:ilvl="0" w:tplc="E3443B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660534"/>
    <w:multiLevelType w:val="hybridMultilevel"/>
    <w:tmpl w:val="AFA248B8"/>
    <w:lvl w:ilvl="0" w:tplc="897E0CF6">
      <w:start w:val="1"/>
      <w:numFmt w:val="lowerLetter"/>
      <w:lvlText w:val="%1."/>
      <w:lvlJc w:val="left"/>
      <w:pPr>
        <w:ind w:left="1637" w:hanging="360"/>
      </w:pPr>
    </w:lvl>
    <w:lvl w:ilvl="1" w:tplc="96248206" w:tentative="1">
      <w:start w:val="1"/>
      <w:numFmt w:val="lowerLetter"/>
      <w:lvlText w:val="%2."/>
      <w:lvlJc w:val="left"/>
      <w:pPr>
        <w:ind w:left="2357" w:hanging="360"/>
      </w:pPr>
    </w:lvl>
    <w:lvl w:ilvl="2" w:tplc="95C2C5D8" w:tentative="1">
      <w:start w:val="1"/>
      <w:numFmt w:val="lowerRoman"/>
      <w:lvlText w:val="%3."/>
      <w:lvlJc w:val="right"/>
      <w:pPr>
        <w:ind w:left="3077" w:hanging="180"/>
      </w:pPr>
    </w:lvl>
    <w:lvl w:ilvl="3" w:tplc="64E2A640" w:tentative="1">
      <w:start w:val="1"/>
      <w:numFmt w:val="decimal"/>
      <w:lvlText w:val="%4."/>
      <w:lvlJc w:val="left"/>
      <w:pPr>
        <w:ind w:left="3797" w:hanging="360"/>
      </w:pPr>
    </w:lvl>
    <w:lvl w:ilvl="4" w:tplc="8E7E243C" w:tentative="1">
      <w:start w:val="1"/>
      <w:numFmt w:val="lowerLetter"/>
      <w:lvlText w:val="%5."/>
      <w:lvlJc w:val="left"/>
      <w:pPr>
        <w:ind w:left="4517" w:hanging="360"/>
      </w:pPr>
    </w:lvl>
    <w:lvl w:ilvl="5" w:tplc="8000E7B6" w:tentative="1">
      <w:start w:val="1"/>
      <w:numFmt w:val="lowerRoman"/>
      <w:lvlText w:val="%6."/>
      <w:lvlJc w:val="right"/>
      <w:pPr>
        <w:ind w:left="5237" w:hanging="180"/>
      </w:pPr>
    </w:lvl>
    <w:lvl w:ilvl="6" w:tplc="D0A8435A" w:tentative="1">
      <w:start w:val="1"/>
      <w:numFmt w:val="decimal"/>
      <w:lvlText w:val="%7."/>
      <w:lvlJc w:val="left"/>
      <w:pPr>
        <w:ind w:left="5957" w:hanging="360"/>
      </w:pPr>
    </w:lvl>
    <w:lvl w:ilvl="7" w:tplc="454E57A8" w:tentative="1">
      <w:start w:val="1"/>
      <w:numFmt w:val="lowerLetter"/>
      <w:lvlText w:val="%8."/>
      <w:lvlJc w:val="left"/>
      <w:pPr>
        <w:ind w:left="6677" w:hanging="360"/>
      </w:pPr>
    </w:lvl>
    <w:lvl w:ilvl="8" w:tplc="314ECE8A" w:tentative="1">
      <w:start w:val="1"/>
      <w:numFmt w:val="lowerRoman"/>
      <w:lvlText w:val="%9."/>
      <w:lvlJc w:val="right"/>
      <w:pPr>
        <w:ind w:left="7397" w:hanging="180"/>
      </w:pPr>
    </w:lvl>
  </w:abstractNum>
  <w:abstractNum w:abstractNumId="22" w15:restartNumberingAfterBreak="0">
    <w:nsid w:val="7DD5305E"/>
    <w:multiLevelType w:val="hybridMultilevel"/>
    <w:tmpl w:val="4E963D22"/>
    <w:lvl w:ilvl="0" w:tplc="D27ED330">
      <w:start w:val="1"/>
      <w:numFmt w:val="lowerRoman"/>
      <w:lvlText w:val="%1."/>
      <w:lvlJc w:val="left"/>
      <w:pPr>
        <w:ind w:left="1637" w:hanging="360"/>
      </w:pPr>
      <w:rPr>
        <w:rFonts w:hint="default"/>
      </w:rPr>
    </w:lvl>
    <w:lvl w:ilvl="1" w:tplc="DC6A4CEE">
      <w:start w:val="1"/>
      <w:numFmt w:val="lowerLetter"/>
      <w:lvlText w:val="%2."/>
      <w:lvlJc w:val="left"/>
      <w:pPr>
        <w:ind w:left="2357" w:hanging="360"/>
      </w:pPr>
    </w:lvl>
    <w:lvl w:ilvl="2" w:tplc="AB5699F2" w:tentative="1">
      <w:start w:val="1"/>
      <w:numFmt w:val="lowerRoman"/>
      <w:lvlText w:val="%3."/>
      <w:lvlJc w:val="right"/>
      <w:pPr>
        <w:ind w:left="3077" w:hanging="180"/>
      </w:pPr>
    </w:lvl>
    <w:lvl w:ilvl="3" w:tplc="3F982FC2" w:tentative="1">
      <w:start w:val="1"/>
      <w:numFmt w:val="decimal"/>
      <w:lvlText w:val="%4."/>
      <w:lvlJc w:val="left"/>
      <w:pPr>
        <w:ind w:left="3797" w:hanging="360"/>
      </w:pPr>
    </w:lvl>
    <w:lvl w:ilvl="4" w:tplc="AEF691B6" w:tentative="1">
      <w:start w:val="1"/>
      <w:numFmt w:val="lowerLetter"/>
      <w:lvlText w:val="%5."/>
      <w:lvlJc w:val="left"/>
      <w:pPr>
        <w:ind w:left="4517" w:hanging="360"/>
      </w:pPr>
    </w:lvl>
    <w:lvl w:ilvl="5" w:tplc="5E2075E4" w:tentative="1">
      <w:start w:val="1"/>
      <w:numFmt w:val="lowerRoman"/>
      <w:lvlText w:val="%6."/>
      <w:lvlJc w:val="right"/>
      <w:pPr>
        <w:ind w:left="5237" w:hanging="180"/>
      </w:pPr>
    </w:lvl>
    <w:lvl w:ilvl="6" w:tplc="4E6ACBC2" w:tentative="1">
      <w:start w:val="1"/>
      <w:numFmt w:val="decimal"/>
      <w:lvlText w:val="%7."/>
      <w:lvlJc w:val="left"/>
      <w:pPr>
        <w:ind w:left="5957" w:hanging="360"/>
      </w:pPr>
    </w:lvl>
    <w:lvl w:ilvl="7" w:tplc="5BB0F5DC" w:tentative="1">
      <w:start w:val="1"/>
      <w:numFmt w:val="lowerLetter"/>
      <w:lvlText w:val="%8."/>
      <w:lvlJc w:val="left"/>
      <w:pPr>
        <w:ind w:left="6677" w:hanging="360"/>
      </w:pPr>
    </w:lvl>
    <w:lvl w:ilvl="8" w:tplc="8D50C7D8" w:tentative="1">
      <w:start w:val="1"/>
      <w:numFmt w:val="lowerRoman"/>
      <w:lvlText w:val="%9."/>
      <w:lvlJc w:val="right"/>
      <w:pPr>
        <w:ind w:left="7397" w:hanging="180"/>
      </w:pPr>
    </w:lvl>
  </w:abstractNum>
  <w:abstractNum w:abstractNumId="23" w15:restartNumberingAfterBreak="0">
    <w:nsid w:val="7F9602B1"/>
    <w:multiLevelType w:val="multilevel"/>
    <w:tmpl w:val="1CD21E78"/>
    <w:lvl w:ilvl="0">
      <w:start w:val="6"/>
      <w:numFmt w:val="decimal"/>
      <w:lvlText w:val="%1"/>
      <w:lvlJc w:val="left"/>
      <w:pPr>
        <w:ind w:left="1638" w:hanging="721"/>
      </w:pPr>
      <w:rPr>
        <w:rFonts w:hint="default"/>
        <w:lang w:val="en-GB" w:eastAsia="en-GB" w:bidi="en-GB"/>
      </w:rPr>
    </w:lvl>
    <w:lvl w:ilvl="1">
      <w:start w:val="2"/>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num w:numId="1" w16cid:durableId="566262504">
    <w:abstractNumId w:val="6"/>
  </w:num>
  <w:num w:numId="2" w16cid:durableId="1624077593">
    <w:abstractNumId w:val="13"/>
  </w:num>
  <w:num w:numId="3" w16cid:durableId="171653475">
    <w:abstractNumId w:val="7"/>
  </w:num>
  <w:num w:numId="4" w16cid:durableId="451706436">
    <w:abstractNumId w:val="23"/>
  </w:num>
  <w:num w:numId="5" w16cid:durableId="860707914">
    <w:abstractNumId w:val="19"/>
  </w:num>
  <w:num w:numId="6" w16cid:durableId="818619190">
    <w:abstractNumId w:val="1"/>
  </w:num>
  <w:num w:numId="7" w16cid:durableId="1011294791">
    <w:abstractNumId w:val="9"/>
  </w:num>
  <w:num w:numId="8" w16cid:durableId="1202329225">
    <w:abstractNumId w:val="10"/>
  </w:num>
  <w:num w:numId="9" w16cid:durableId="1916817816">
    <w:abstractNumId w:val="16"/>
  </w:num>
  <w:num w:numId="10" w16cid:durableId="355156122">
    <w:abstractNumId w:val="4"/>
  </w:num>
  <w:num w:numId="11" w16cid:durableId="456992704">
    <w:abstractNumId w:val="12"/>
  </w:num>
  <w:num w:numId="12" w16cid:durableId="1947351670">
    <w:abstractNumId w:val="11"/>
  </w:num>
  <w:num w:numId="13" w16cid:durableId="1783645910">
    <w:abstractNumId w:val="2"/>
  </w:num>
  <w:num w:numId="14" w16cid:durableId="1587811917">
    <w:abstractNumId w:val="22"/>
  </w:num>
  <w:num w:numId="15" w16cid:durableId="1527987115">
    <w:abstractNumId w:val="21"/>
  </w:num>
  <w:num w:numId="16" w16cid:durableId="1809936260">
    <w:abstractNumId w:val="18"/>
  </w:num>
  <w:num w:numId="17" w16cid:durableId="148643638">
    <w:abstractNumId w:val="8"/>
  </w:num>
  <w:num w:numId="18" w16cid:durableId="1949383762">
    <w:abstractNumId w:val="15"/>
  </w:num>
  <w:num w:numId="19" w16cid:durableId="1565990173">
    <w:abstractNumId w:val="0"/>
  </w:num>
  <w:num w:numId="20" w16cid:durableId="490028024">
    <w:abstractNumId w:val="17"/>
  </w:num>
  <w:num w:numId="21" w16cid:durableId="729615485">
    <w:abstractNumId w:val="3"/>
  </w:num>
  <w:num w:numId="22" w16cid:durableId="2076932231">
    <w:abstractNumId w:val="5"/>
  </w:num>
  <w:num w:numId="23" w16cid:durableId="354891787">
    <w:abstractNumId w:val="20"/>
  </w:num>
  <w:num w:numId="24" w16cid:durableId="868300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BC"/>
    <w:rsid w:val="00042982"/>
    <w:rsid w:val="00071532"/>
    <w:rsid w:val="00081C8B"/>
    <w:rsid w:val="000A73BC"/>
    <w:rsid w:val="000D38F6"/>
    <w:rsid w:val="00127514"/>
    <w:rsid w:val="00130247"/>
    <w:rsid w:val="00161CB4"/>
    <w:rsid w:val="00185F6D"/>
    <w:rsid w:val="001908C5"/>
    <w:rsid w:val="00191436"/>
    <w:rsid w:val="00193092"/>
    <w:rsid w:val="001A71C9"/>
    <w:rsid w:val="001C6A3B"/>
    <w:rsid w:val="001C768A"/>
    <w:rsid w:val="001D75D4"/>
    <w:rsid w:val="001E79D2"/>
    <w:rsid w:val="002004AF"/>
    <w:rsid w:val="00227360"/>
    <w:rsid w:val="00232F7A"/>
    <w:rsid w:val="00255932"/>
    <w:rsid w:val="002B6C7F"/>
    <w:rsid w:val="002C2DA8"/>
    <w:rsid w:val="00310738"/>
    <w:rsid w:val="00320A55"/>
    <w:rsid w:val="00331147"/>
    <w:rsid w:val="0036598B"/>
    <w:rsid w:val="00371C2D"/>
    <w:rsid w:val="00372F18"/>
    <w:rsid w:val="0038531E"/>
    <w:rsid w:val="003B174F"/>
    <w:rsid w:val="003B50EE"/>
    <w:rsid w:val="003C47B6"/>
    <w:rsid w:val="003D00A1"/>
    <w:rsid w:val="003E156C"/>
    <w:rsid w:val="00447189"/>
    <w:rsid w:val="00451479"/>
    <w:rsid w:val="00480689"/>
    <w:rsid w:val="004C4563"/>
    <w:rsid w:val="004E64BA"/>
    <w:rsid w:val="004F0FF6"/>
    <w:rsid w:val="00502331"/>
    <w:rsid w:val="005214DF"/>
    <w:rsid w:val="00540994"/>
    <w:rsid w:val="00540F3B"/>
    <w:rsid w:val="00550BE1"/>
    <w:rsid w:val="005C06CF"/>
    <w:rsid w:val="005E2C4C"/>
    <w:rsid w:val="00610345"/>
    <w:rsid w:val="00633555"/>
    <w:rsid w:val="0067251B"/>
    <w:rsid w:val="006761DE"/>
    <w:rsid w:val="006805DF"/>
    <w:rsid w:val="006B7119"/>
    <w:rsid w:val="006C2263"/>
    <w:rsid w:val="006D724E"/>
    <w:rsid w:val="006E468B"/>
    <w:rsid w:val="007201E9"/>
    <w:rsid w:val="0073366E"/>
    <w:rsid w:val="00750C77"/>
    <w:rsid w:val="007E3600"/>
    <w:rsid w:val="00820DDE"/>
    <w:rsid w:val="008B40F5"/>
    <w:rsid w:val="008C1790"/>
    <w:rsid w:val="008C7BA3"/>
    <w:rsid w:val="008F3F0F"/>
    <w:rsid w:val="00922B63"/>
    <w:rsid w:val="009357BE"/>
    <w:rsid w:val="00936AD7"/>
    <w:rsid w:val="00964C64"/>
    <w:rsid w:val="00987A1A"/>
    <w:rsid w:val="009C2401"/>
    <w:rsid w:val="009C44A9"/>
    <w:rsid w:val="009C672B"/>
    <w:rsid w:val="009D7929"/>
    <w:rsid w:val="009E368E"/>
    <w:rsid w:val="009F37FD"/>
    <w:rsid w:val="00A02556"/>
    <w:rsid w:val="00A314CE"/>
    <w:rsid w:val="00A65AF1"/>
    <w:rsid w:val="00A77B50"/>
    <w:rsid w:val="00B158BB"/>
    <w:rsid w:val="00B164DC"/>
    <w:rsid w:val="00B252F5"/>
    <w:rsid w:val="00B36725"/>
    <w:rsid w:val="00B80070"/>
    <w:rsid w:val="00B8696B"/>
    <w:rsid w:val="00BA5065"/>
    <w:rsid w:val="00BC2D33"/>
    <w:rsid w:val="00BC34C3"/>
    <w:rsid w:val="00BC3A25"/>
    <w:rsid w:val="00BE1C57"/>
    <w:rsid w:val="00BF4FE6"/>
    <w:rsid w:val="00C80DEB"/>
    <w:rsid w:val="00CA01B8"/>
    <w:rsid w:val="00CA1FA9"/>
    <w:rsid w:val="00CC09E7"/>
    <w:rsid w:val="00D02496"/>
    <w:rsid w:val="00D11D91"/>
    <w:rsid w:val="00D86818"/>
    <w:rsid w:val="00D92E1D"/>
    <w:rsid w:val="00E006EC"/>
    <w:rsid w:val="00E652D4"/>
    <w:rsid w:val="00EE3EC4"/>
    <w:rsid w:val="00EE7C68"/>
    <w:rsid w:val="00F678B3"/>
    <w:rsid w:val="00F8246E"/>
    <w:rsid w:val="00F964E5"/>
    <w:rsid w:val="00FD2856"/>
    <w:rsid w:val="00FF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C9BD"/>
  <w15:docId w15:val="{E6D9A357-C577-4234-B05D-0C7E975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1638" w:hanging="721"/>
      <w:outlineLvl w:val="0"/>
    </w:pPr>
    <w:rPr>
      <w:b/>
      <w:bCs/>
      <w:sz w:val="28"/>
      <w:szCs w:val="28"/>
    </w:rPr>
  </w:style>
  <w:style w:type="paragraph" w:styleId="Heading2">
    <w:name w:val="heading 2"/>
    <w:basedOn w:val="Normal"/>
    <w:uiPriority w:val="1"/>
    <w:qFormat/>
    <w:pPr>
      <w:ind w:left="1638" w:hanging="721"/>
      <w:outlineLvl w:val="1"/>
    </w:pPr>
    <w:rPr>
      <w:b/>
      <w:bCs/>
      <w:sz w:val="24"/>
      <w:szCs w:val="24"/>
    </w:rPr>
  </w:style>
  <w:style w:type="paragraph" w:styleId="Heading3">
    <w:name w:val="heading 3"/>
    <w:basedOn w:val="Normal"/>
    <w:uiPriority w:val="1"/>
    <w:qFormat/>
    <w:pPr>
      <w:ind w:right="76"/>
      <w:outlineLvl w:val="2"/>
    </w:pPr>
    <w:rPr>
      <w:sz w:val="24"/>
      <w:szCs w:val="24"/>
    </w:rPr>
  </w:style>
  <w:style w:type="paragraph" w:styleId="Heading4">
    <w:name w:val="heading 4"/>
    <w:basedOn w:val="Normal"/>
    <w:uiPriority w:val="1"/>
    <w:qFormat/>
    <w:pPr>
      <w:ind w:left="163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38"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D4944"/>
    <w:rPr>
      <w:rFonts w:ascii="Tahoma" w:hAnsi="Tahoma" w:cs="Tahoma"/>
      <w:sz w:val="16"/>
      <w:szCs w:val="16"/>
    </w:rPr>
  </w:style>
  <w:style w:type="character" w:customStyle="1" w:styleId="BalloonTextChar">
    <w:name w:val="Balloon Text Char"/>
    <w:basedOn w:val="DefaultParagraphFont"/>
    <w:link w:val="BalloonText"/>
    <w:uiPriority w:val="99"/>
    <w:semiHidden/>
    <w:rsid w:val="00FD4944"/>
    <w:rPr>
      <w:rFonts w:ascii="Tahoma" w:eastAsia="Arial" w:hAnsi="Tahoma" w:cs="Tahoma"/>
      <w:sz w:val="16"/>
      <w:szCs w:val="16"/>
      <w:lang w:val="en-GB" w:eastAsia="en-GB" w:bidi="en-GB"/>
    </w:rPr>
  </w:style>
  <w:style w:type="table" w:styleId="TableGrid">
    <w:name w:val="Table Grid"/>
    <w:basedOn w:val="TableNormal"/>
    <w:uiPriority w:val="39"/>
    <w:rsid w:val="00FA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2F6B"/>
    <w:rPr>
      <w:color w:val="0000FF"/>
      <w:u w:val="single"/>
    </w:rPr>
  </w:style>
  <w:style w:type="paragraph" w:customStyle="1" w:styleId="Default">
    <w:name w:val="Default"/>
    <w:rsid w:val="00342F6B"/>
    <w:pPr>
      <w:widowControl/>
      <w:adjustRightInd w:val="0"/>
    </w:pPr>
    <w:rPr>
      <w:rFonts w:ascii="Arial" w:eastAsia="Times New Roman" w:hAnsi="Arial" w:cs="Arial"/>
      <w:color w:val="000000"/>
      <w:sz w:val="24"/>
      <w:szCs w:val="24"/>
    </w:rPr>
  </w:style>
  <w:style w:type="paragraph" w:customStyle="1" w:styleId="CM53">
    <w:name w:val="CM53"/>
    <w:basedOn w:val="Default"/>
    <w:next w:val="Default"/>
    <w:uiPriority w:val="99"/>
    <w:rsid w:val="00A560F7"/>
    <w:pPr>
      <w:widowControl w:val="0"/>
    </w:pPr>
    <w:rPr>
      <w:rFonts w:cs="Times New Roman"/>
      <w:color w:val="auto"/>
    </w:rPr>
  </w:style>
  <w:style w:type="paragraph" w:styleId="NormalWeb">
    <w:name w:val="Normal (Web)"/>
    <w:basedOn w:val="Normal"/>
    <w:uiPriority w:val="99"/>
    <w:semiHidden/>
    <w:unhideWhenUsed/>
    <w:rsid w:val="00335C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8E7368"/>
    <w:rPr>
      <w:sz w:val="16"/>
      <w:szCs w:val="16"/>
    </w:rPr>
  </w:style>
  <w:style w:type="paragraph" w:styleId="CommentText">
    <w:name w:val="annotation text"/>
    <w:basedOn w:val="Normal"/>
    <w:link w:val="CommentTextChar"/>
    <w:uiPriority w:val="99"/>
    <w:semiHidden/>
    <w:unhideWhenUsed/>
    <w:rsid w:val="008E7368"/>
    <w:rPr>
      <w:sz w:val="20"/>
      <w:szCs w:val="20"/>
    </w:rPr>
  </w:style>
  <w:style w:type="character" w:customStyle="1" w:styleId="CommentTextChar">
    <w:name w:val="Comment Text Char"/>
    <w:basedOn w:val="DefaultParagraphFont"/>
    <w:link w:val="CommentText"/>
    <w:uiPriority w:val="99"/>
    <w:semiHidden/>
    <w:rsid w:val="008E736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E7368"/>
    <w:rPr>
      <w:b/>
      <w:bCs/>
    </w:rPr>
  </w:style>
  <w:style w:type="character" w:customStyle="1" w:styleId="CommentSubjectChar">
    <w:name w:val="Comment Subject Char"/>
    <w:basedOn w:val="CommentTextChar"/>
    <w:link w:val="CommentSubject"/>
    <w:uiPriority w:val="99"/>
    <w:semiHidden/>
    <w:rsid w:val="008E7368"/>
    <w:rPr>
      <w:rFonts w:ascii="Arial" w:eastAsia="Arial" w:hAnsi="Arial" w:cs="Arial"/>
      <w:b/>
      <w:bCs/>
      <w:sz w:val="20"/>
      <w:szCs w:val="20"/>
      <w:lang w:val="en-GB" w:eastAsia="en-GB" w:bidi="en-GB"/>
    </w:rPr>
  </w:style>
  <w:style w:type="paragraph" w:customStyle="1" w:styleId="CM14">
    <w:name w:val="CM14"/>
    <w:basedOn w:val="Default"/>
    <w:next w:val="Default"/>
    <w:rsid w:val="00640AD7"/>
    <w:pPr>
      <w:widowControl w:val="0"/>
      <w:spacing w:line="253" w:lineRule="atLeast"/>
    </w:pPr>
    <w:rPr>
      <w:rFonts w:cs="Times New Roman"/>
      <w:color w:val="auto"/>
    </w:rPr>
  </w:style>
  <w:style w:type="paragraph" w:customStyle="1" w:styleId="CM54">
    <w:name w:val="CM54"/>
    <w:basedOn w:val="Default"/>
    <w:next w:val="Default"/>
    <w:uiPriority w:val="99"/>
    <w:rsid w:val="00F16A53"/>
    <w:pPr>
      <w:widowControl w:val="0"/>
    </w:pPr>
    <w:rPr>
      <w:rFonts w:cs="Times New Roman"/>
      <w:color w:val="auto"/>
    </w:rPr>
  </w:style>
  <w:style w:type="paragraph" w:customStyle="1" w:styleId="CM12">
    <w:name w:val="CM12"/>
    <w:basedOn w:val="Default"/>
    <w:next w:val="Default"/>
    <w:uiPriority w:val="99"/>
    <w:rsid w:val="00BF115E"/>
    <w:pPr>
      <w:widowControl w:val="0"/>
      <w:spacing w:line="256" w:lineRule="atLeast"/>
    </w:pPr>
    <w:rPr>
      <w:rFonts w:cs="Times New Roman"/>
      <w:color w:val="auto"/>
    </w:rPr>
  </w:style>
  <w:style w:type="character" w:customStyle="1" w:styleId="Heading1Char">
    <w:name w:val="Heading 1 Char"/>
    <w:basedOn w:val="DefaultParagraphFont"/>
    <w:link w:val="Heading1"/>
    <w:uiPriority w:val="1"/>
    <w:rsid w:val="00F96505"/>
    <w:rPr>
      <w:rFonts w:ascii="Arial" w:eastAsia="Arial" w:hAnsi="Arial" w:cs="Arial"/>
      <w:b/>
      <w:bCs/>
      <w:sz w:val="28"/>
      <w:szCs w:val="28"/>
      <w:lang w:val="en-GB" w:eastAsia="en-GB" w:bidi="en-GB"/>
    </w:rPr>
  </w:style>
  <w:style w:type="paragraph" w:styleId="ListBullet">
    <w:name w:val="List Bullet"/>
    <w:basedOn w:val="List"/>
    <w:autoRedefine/>
    <w:rsid w:val="00EE7C68"/>
    <w:pPr>
      <w:widowControl/>
      <w:autoSpaceDE/>
      <w:autoSpaceDN/>
      <w:ind w:left="919" w:right="1066" w:firstLine="0"/>
      <w:contextualSpacing w:val="0"/>
      <w:jc w:val="both"/>
    </w:pPr>
    <w:rPr>
      <w:rFonts w:eastAsia="Times New Roman" w:cs="Times New Roman"/>
      <w:spacing w:val="-5"/>
      <w:lang w:bidi="ar-SA"/>
    </w:rPr>
  </w:style>
  <w:style w:type="paragraph" w:styleId="List">
    <w:name w:val="List"/>
    <w:basedOn w:val="Normal"/>
    <w:uiPriority w:val="99"/>
    <w:semiHidden/>
    <w:unhideWhenUsed/>
    <w:rsid w:val="00274AE2"/>
    <w:pPr>
      <w:ind w:left="283" w:hanging="283"/>
      <w:contextualSpacing/>
    </w:pPr>
  </w:style>
  <w:style w:type="paragraph" w:customStyle="1" w:styleId="last-child">
    <w:name w:val="last-child"/>
    <w:basedOn w:val="Normal"/>
    <w:rsid w:val="002A096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96F98"/>
    <w:pPr>
      <w:tabs>
        <w:tab w:val="center" w:pos="4513"/>
        <w:tab w:val="right" w:pos="9026"/>
      </w:tabs>
    </w:pPr>
  </w:style>
  <w:style w:type="character" w:customStyle="1" w:styleId="HeaderChar">
    <w:name w:val="Header Char"/>
    <w:basedOn w:val="DefaultParagraphFont"/>
    <w:link w:val="Header"/>
    <w:uiPriority w:val="99"/>
    <w:rsid w:val="00C96F98"/>
    <w:rPr>
      <w:rFonts w:ascii="Arial" w:eastAsia="Arial" w:hAnsi="Arial" w:cs="Arial"/>
      <w:lang w:val="en-GB" w:eastAsia="en-GB" w:bidi="en-GB"/>
    </w:rPr>
  </w:style>
  <w:style w:type="paragraph" w:styleId="Footer">
    <w:name w:val="footer"/>
    <w:basedOn w:val="Normal"/>
    <w:link w:val="FooterChar"/>
    <w:uiPriority w:val="99"/>
    <w:unhideWhenUsed/>
    <w:rsid w:val="00C96F98"/>
    <w:pPr>
      <w:tabs>
        <w:tab w:val="center" w:pos="4513"/>
        <w:tab w:val="right" w:pos="9026"/>
      </w:tabs>
    </w:pPr>
  </w:style>
  <w:style w:type="character" w:customStyle="1" w:styleId="FooterChar">
    <w:name w:val="Footer Char"/>
    <w:basedOn w:val="DefaultParagraphFont"/>
    <w:link w:val="Footer"/>
    <w:uiPriority w:val="99"/>
    <w:rsid w:val="00C96F98"/>
    <w:rPr>
      <w:rFonts w:ascii="Arial" w:eastAsia="Arial" w:hAnsi="Arial" w:cs="Arial"/>
      <w:lang w:val="en-GB" w:eastAsia="en-GB" w:bidi="en-GB"/>
    </w:rPr>
  </w:style>
  <w:style w:type="paragraph" w:customStyle="1" w:styleId="CM13">
    <w:name w:val="CM13"/>
    <w:basedOn w:val="Default"/>
    <w:next w:val="Default"/>
    <w:uiPriority w:val="99"/>
    <w:rsid w:val="00857C51"/>
    <w:pPr>
      <w:widowControl w:val="0"/>
      <w:spacing w:line="253" w:lineRule="atLeast"/>
    </w:pPr>
    <w:rPr>
      <w:color w:val="auto"/>
      <w:lang w:val="en-GB" w:eastAsia="en-GB"/>
    </w:rPr>
  </w:style>
  <w:style w:type="paragraph" w:customStyle="1" w:styleId="CM1">
    <w:name w:val="CM1"/>
    <w:basedOn w:val="Default"/>
    <w:next w:val="Default"/>
    <w:uiPriority w:val="99"/>
    <w:rsid w:val="00857C51"/>
    <w:pPr>
      <w:widowControl w:val="0"/>
      <w:spacing w:line="248" w:lineRule="atLeast"/>
    </w:pPr>
    <w:rPr>
      <w:color w:val="auto"/>
      <w:lang w:val="en-GB" w:eastAsia="en-GB"/>
    </w:rPr>
  </w:style>
  <w:style w:type="character" w:styleId="FollowedHyperlink">
    <w:name w:val="FollowedHyperlink"/>
    <w:basedOn w:val="DefaultParagraphFont"/>
    <w:uiPriority w:val="99"/>
    <w:semiHidden/>
    <w:unhideWhenUsed/>
    <w:rsid w:val="005C007C"/>
    <w:rPr>
      <w:color w:val="800080" w:themeColor="followedHyperlink"/>
      <w:u w:val="single"/>
    </w:rPr>
  </w:style>
  <w:style w:type="character" w:styleId="UnresolvedMention">
    <w:name w:val="Unresolved Mention"/>
    <w:basedOn w:val="DefaultParagraphFont"/>
    <w:uiPriority w:val="99"/>
    <w:semiHidden/>
    <w:unhideWhenUsed/>
    <w:rsid w:val="006B7119"/>
    <w:rPr>
      <w:color w:val="605E5C"/>
      <w:shd w:val="clear" w:color="auto" w:fill="E1DFDD"/>
    </w:rPr>
  </w:style>
  <w:style w:type="paragraph" w:styleId="Revision">
    <w:name w:val="Revision"/>
    <w:hidden/>
    <w:uiPriority w:val="99"/>
    <w:semiHidden/>
    <w:rsid w:val="00310738"/>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S:\SFST\1%20KEEP\Finance%20Regulations\Scheme%20For%20Financing%20Schools\2019\Scheme%20of%20Financing%20-%20Sept%202019%20v2.docx" TargetMode="External"/><Relationship Id="rId18" Type="http://schemas.openxmlformats.org/officeDocument/2006/relationships/hyperlink" Target="https://www.gov.uk/government/publications/procurement-policy-note-0417-new-threshold-levels-2018" TargetMode="External"/><Relationship Id="rId26" Type="http://schemas.openxmlformats.org/officeDocument/2006/relationships/hyperlink" Target="mailto:bids@star-procurement.gov.uk" TargetMode="External"/><Relationship Id="rId3" Type="http://schemas.openxmlformats.org/officeDocument/2006/relationships/styles" Target="styles.xml"/><Relationship Id="rId21" Type="http://schemas.openxmlformats.org/officeDocument/2006/relationships/hyperlink" Target="mailto:bids@star-procurement.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ameside.gov.uk/procurement" TargetMode="External"/><Relationship Id="rId25" Type="http://schemas.openxmlformats.org/officeDocument/2006/relationships/hyperlink" Target="http://www.tameside.gov.uk/whistleblowing" TargetMode="External"/><Relationship Id="rId2" Type="http://schemas.openxmlformats.org/officeDocument/2006/relationships/numbering" Target="numbering.xml"/><Relationship Id="rId16" Type="http://schemas.openxmlformats.org/officeDocument/2006/relationships/hyperlink" Target="http://www.star-procurement.gov.uk" TargetMode="External"/><Relationship Id="rId20" Type="http://schemas.openxmlformats.org/officeDocument/2006/relationships/hyperlink" Target="https://www.gov.uk/guidance/buying-fo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leasing-for-maintained-schools"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417-new-threshold-levels-2018" TargetMode="External"/><Relationship Id="rId23" Type="http://schemas.openxmlformats.org/officeDocument/2006/relationships/hyperlink" Target="https://tameside.moderngov.co.uk/documents/s13571/Part%205c%20Anti%20Fraud%20Bribery%20and%20Corruption%20Strategy%20-%20Statement%20of%20Intent.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tameside.gov.uk/procurement" TargetMode="External"/><Relationship Id="rId4" Type="http://schemas.openxmlformats.org/officeDocument/2006/relationships/settings" Target="settings.xml"/><Relationship Id="rId9" Type="http://schemas.openxmlformats.org/officeDocument/2006/relationships/hyperlink" Target="https://www.gov.uk/government/publications/schemes-for-financing-schools/schemes-for-financing-local-authority-maintained-schools" TargetMode="External"/><Relationship Id="rId14" Type="http://schemas.openxmlformats.org/officeDocument/2006/relationships/hyperlink" Target="https://www.tameside.gov.uk/procurement" TargetMode="External"/><Relationship Id="rId22" Type="http://schemas.openxmlformats.org/officeDocument/2006/relationships/hyperlink" Target="https://www.gov.uk/guidance/buying-for-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4A0A-2E67-44E9-8437-185F9755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18266</Words>
  <Characters>104119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Procedures</vt:lpstr>
    </vt:vector>
  </TitlesOfParts>
  <Company>Tameside and Glossop Integrated Care NHS FT</Company>
  <LinksUpToDate>false</LinksUpToDate>
  <CharactersWithSpaces>122141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dc:title>
  <dc:creator>Nikki Larkins</dc:creator>
  <cp:lastModifiedBy>Wendy Lees</cp:lastModifiedBy>
  <cp:revision>2</cp:revision>
  <cp:lastPrinted>2019-09-24T10:58:00Z</cp:lastPrinted>
  <dcterms:created xsi:type="dcterms:W3CDTF">2026-05-26T13:09:00Z</dcterms:created>
  <dcterms:modified xsi:type="dcterms:W3CDTF">2026-05-26T13:09:00Z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Microsoft® Word 2010</vt:lpwstr>
  </property>
  <property fmtid="{D5CDD505-2E9C-101B-9397-08002B2CF9AE}" pid="4" name="LastSaved">
    <vt:filetime>2019-08-15T00:00:00Z</vt:filetime>
  </property>
</Properties>
</file>