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1B" w:rsidRDefault="00A923F6">
      <w:pPr>
        <w:spacing w:line="242" w:lineRule="auto"/>
        <w:jc w:val="both"/>
        <w:rPr>
          <w:rFonts w:ascii="Arial" w:eastAsia="Times New Roman" w:hAnsi="Arial"/>
          <w:b/>
          <w:bCs/>
          <w:color w:val="000000"/>
          <w:sz w:val="32"/>
          <w:szCs w:val="32"/>
        </w:rPr>
      </w:pPr>
      <w:bookmarkStart w:id="0" w:name="_GoBack"/>
      <w:bookmarkEnd w:id="0"/>
      <w:r>
        <w:rPr>
          <w:rFonts w:ascii="Arial" w:eastAsia="Times New Roman" w:hAnsi="Arial"/>
          <w:b/>
          <w:bCs/>
          <w:color w:val="000000"/>
          <w:sz w:val="32"/>
          <w:szCs w:val="32"/>
        </w:rPr>
        <w:t xml:space="preserve">Annex C: final </w:t>
      </w:r>
      <w:proofErr w:type="gramStart"/>
      <w:r>
        <w:rPr>
          <w:rFonts w:ascii="Arial" w:eastAsia="Times New Roman" w:hAnsi="Arial"/>
          <w:b/>
          <w:bCs/>
          <w:color w:val="000000"/>
          <w:sz w:val="32"/>
          <w:szCs w:val="32"/>
        </w:rPr>
        <w:t>market sustainability plan template</w:t>
      </w:r>
      <w:proofErr w:type="gramEnd"/>
    </w:p>
    <w:p w:rsidR="0020161B" w:rsidRDefault="00A923F6">
      <w:pPr>
        <w:spacing w:line="242" w:lineRule="auto"/>
        <w:jc w:val="both"/>
        <w:rPr>
          <w:rFonts w:ascii="Arial" w:hAnsi="Arial"/>
          <w:b/>
          <w:bCs/>
          <w:sz w:val="24"/>
          <w:szCs w:val="24"/>
        </w:rPr>
      </w:pPr>
      <w:r>
        <w:rPr>
          <w:rFonts w:ascii="Arial" w:hAnsi="Arial"/>
          <w:b/>
          <w:bCs/>
          <w:sz w:val="24"/>
          <w:szCs w:val="24"/>
        </w:rPr>
        <w:t>Please delete the guidance text in the template before completing.</w:t>
      </w:r>
    </w:p>
    <w:tbl>
      <w:tblPr>
        <w:tblW w:w="9016" w:type="dxa"/>
        <w:tblCellMar>
          <w:left w:w="10" w:type="dxa"/>
          <w:right w:w="10" w:type="dxa"/>
        </w:tblCellMar>
        <w:tblLook w:val="0000" w:firstRow="0" w:lastRow="0" w:firstColumn="0" w:lastColumn="0" w:noHBand="0" w:noVBand="0"/>
      </w:tblPr>
      <w:tblGrid>
        <w:gridCol w:w="9016"/>
      </w:tblGrid>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both"/>
            </w:pPr>
            <w:r>
              <w:rPr>
                <w:rFonts w:ascii="Arial" w:hAnsi="Arial"/>
                <w:b/>
                <w:bCs/>
                <w:sz w:val="24"/>
                <w:szCs w:val="24"/>
              </w:rPr>
              <w:t xml:space="preserve">Section 1: </w:t>
            </w:r>
            <w:r>
              <w:rPr>
                <w:rFonts w:ascii="Arial" w:hAnsi="Arial"/>
                <w:b/>
                <w:bCs/>
                <w:color w:val="000000"/>
                <w:sz w:val="24"/>
                <w:szCs w:val="24"/>
              </w:rPr>
              <w:t xml:space="preserve">Revised </w:t>
            </w:r>
            <w:r>
              <w:rPr>
                <w:rFonts w:ascii="Arial" w:hAnsi="Arial"/>
                <w:b/>
                <w:bCs/>
                <w:sz w:val="24"/>
                <w:szCs w:val="24"/>
              </w:rPr>
              <w:t xml:space="preserve">assessment of the current sustainability of </w:t>
            </w:r>
            <w:r>
              <w:rPr>
                <w:rFonts w:ascii="Arial" w:hAnsi="Arial"/>
                <w:b/>
                <w:bCs/>
                <w:sz w:val="24"/>
                <w:szCs w:val="24"/>
              </w:rPr>
              <w:t>local care markets</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numPr>
                <w:ilvl w:val="0"/>
                <w:numId w:val="2"/>
              </w:numPr>
              <w:spacing w:after="0" w:line="240" w:lineRule="auto"/>
              <w:jc w:val="both"/>
            </w:pPr>
            <w:r>
              <w:rPr>
                <w:rFonts w:ascii="Arial" w:hAnsi="Arial"/>
                <w:b/>
                <w:bCs/>
                <w:sz w:val="24"/>
                <w:szCs w:val="24"/>
              </w:rPr>
              <w:t>Assessment of current sustainability of the 65+ care home market</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pPr>
            <w:r>
              <w:rPr>
                <w:rFonts w:cs="Calibri"/>
                <w:bCs/>
              </w:rPr>
              <w:t xml:space="preserve">Tameside is geographically small (approx. 8 x 6 miles) with 40% </w:t>
            </w:r>
            <w:r>
              <w:rPr>
                <w:rFonts w:cs="Calibri"/>
                <w:bCs/>
                <w:color w:val="000000"/>
              </w:rPr>
              <w:t xml:space="preserve">moorland, with a population of approx. 226,000.  Of the total </w:t>
            </w:r>
            <w:proofErr w:type="gramStart"/>
            <w:r>
              <w:rPr>
                <w:rFonts w:cs="Calibri"/>
                <w:bCs/>
                <w:color w:val="000000"/>
              </w:rPr>
              <w:t>population</w:t>
            </w:r>
            <w:proofErr w:type="gramEnd"/>
            <w:r>
              <w:rPr>
                <w:rFonts w:cs="Calibri"/>
                <w:bCs/>
                <w:color w:val="000000"/>
              </w:rPr>
              <w:t xml:space="preserve"> approx. 42,000 are aged over 65 </w:t>
            </w:r>
            <w:r>
              <w:rPr>
                <w:rFonts w:cs="Calibri"/>
                <w:bCs/>
                <w:color w:val="000000"/>
              </w:rPr>
              <w:t>years of age.</w:t>
            </w:r>
          </w:p>
          <w:p w:rsidR="0020161B" w:rsidRDefault="0020161B">
            <w:pPr>
              <w:spacing w:after="0" w:line="240" w:lineRule="auto"/>
              <w:rPr>
                <w:rFonts w:cs="Calibri"/>
                <w:bCs/>
                <w:color w:val="000000"/>
              </w:rPr>
            </w:pPr>
          </w:p>
          <w:p w:rsidR="0020161B" w:rsidRDefault="00A923F6">
            <w:pPr>
              <w:spacing w:after="0" w:line="240" w:lineRule="auto"/>
              <w:jc w:val="both"/>
            </w:pPr>
            <w:r>
              <w:rPr>
                <w:rFonts w:cs="Calibri"/>
                <w:bCs/>
                <w:color w:val="000000"/>
              </w:rPr>
              <w:t>There are 34 registered care homes for older people offering 1,446 beds (registered beds are greater but some homes do not offer this capacity).  POPPI data suggests that, by 2025, there will be 1,458 people living in 24-hour care, and there</w:t>
            </w:r>
            <w:r>
              <w:rPr>
                <w:rFonts w:cs="Calibri"/>
                <w:bCs/>
                <w:color w:val="000000"/>
              </w:rPr>
              <w:t xml:space="preserve">fore we will have reached capacity.  </w:t>
            </w:r>
            <w:proofErr w:type="gramStart"/>
            <w:r>
              <w:rPr>
                <w:rFonts w:cs="Calibri"/>
                <w:bCs/>
                <w:color w:val="000000"/>
              </w:rPr>
              <w:t>Therefore</w:t>
            </w:r>
            <w:proofErr w:type="gramEnd"/>
            <w:r>
              <w:rPr>
                <w:rFonts w:cs="Calibri"/>
                <w:bCs/>
                <w:color w:val="000000"/>
              </w:rPr>
              <w:t xml:space="preserve"> we are looking to increase other housing options (e.g. extra care housing schemes).</w:t>
            </w:r>
          </w:p>
          <w:p w:rsidR="0020161B" w:rsidRDefault="0020161B">
            <w:pPr>
              <w:spacing w:after="0" w:line="240" w:lineRule="auto"/>
              <w:jc w:val="both"/>
              <w:rPr>
                <w:rFonts w:cs="Calibri"/>
                <w:bCs/>
                <w:color w:val="000000"/>
              </w:rPr>
            </w:pPr>
          </w:p>
          <w:p w:rsidR="0020161B" w:rsidRDefault="00A923F6">
            <w:pPr>
              <w:spacing w:after="0" w:line="240" w:lineRule="auto"/>
              <w:jc w:val="both"/>
            </w:pPr>
            <w:r>
              <w:rPr>
                <w:rFonts w:cs="Calibri"/>
                <w:bCs/>
                <w:color w:val="000000"/>
              </w:rPr>
              <w:t>Of these 34 homes, 9 are nursing homes and 25 are residential homes.</w:t>
            </w:r>
          </w:p>
          <w:p w:rsidR="0020161B" w:rsidRDefault="0020161B">
            <w:pPr>
              <w:spacing w:after="0" w:line="240" w:lineRule="auto"/>
              <w:jc w:val="both"/>
              <w:rPr>
                <w:rFonts w:cs="Calibri"/>
                <w:bCs/>
                <w:color w:val="000000"/>
              </w:rPr>
            </w:pPr>
          </w:p>
          <w:p w:rsidR="0020161B" w:rsidRDefault="00A923F6">
            <w:pPr>
              <w:spacing w:after="0" w:line="240" w:lineRule="auto"/>
              <w:jc w:val="both"/>
            </w:pPr>
            <w:r>
              <w:rPr>
                <w:rFonts w:cs="Calibri"/>
                <w:bCs/>
                <w:color w:val="000000"/>
              </w:rPr>
              <w:t>Homes range in size from 16 to 100 beds, with an avera</w:t>
            </w:r>
            <w:r>
              <w:rPr>
                <w:rFonts w:cs="Calibri"/>
                <w:bCs/>
                <w:color w:val="000000"/>
              </w:rPr>
              <w:t>ge size of 42 beds (residential average size is 40 with nursing having an average of 49).</w:t>
            </w:r>
          </w:p>
          <w:p w:rsidR="0020161B" w:rsidRDefault="0020161B">
            <w:pPr>
              <w:spacing w:after="0" w:line="240" w:lineRule="auto"/>
              <w:jc w:val="both"/>
              <w:rPr>
                <w:rFonts w:cs="Calibri"/>
                <w:bCs/>
                <w:color w:val="000000"/>
              </w:rPr>
            </w:pPr>
          </w:p>
          <w:p w:rsidR="0020161B" w:rsidRDefault="00A923F6">
            <w:pPr>
              <w:spacing w:after="0" w:line="240" w:lineRule="auto"/>
              <w:jc w:val="both"/>
            </w:pPr>
            <w:proofErr w:type="gramStart"/>
            <w:r>
              <w:rPr>
                <w:rFonts w:cs="Calibri"/>
                <w:bCs/>
                <w:color w:val="000000"/>
              </w:rPr>
              <w:t>The market is dominated by one national provider (HC-One) who operates 13 care homes with 568 beds (or 39% of the market)</w:t>
            </w:r>
            <w:proofErr w:type="gramEnd"/>
            <w:r>
              <w:rPr>
                <w:rFonts w:cs="Calibri"/>
                <w:bCs/>
                <w:color w:val="000000"/>
              </w:rPr>
              <w:t>.  Other national providers operate a couple</w:t>
            </w:r>
            <w:r>
              <w:rPr>
                <w:rFonts w:cs="Calibri"/>
                <w:bCs/>
                <w:color w:val="000000"/>
              </w:rPr>
              <w:t xml:space="preserve"> of care homes, with the remainder mainly </w:t>
            </w:r>
            <w:proofErr w:type="gramStart"/>
            <w:r>
              <w:rPr>
                <w:rFonts w:cs="Calibri"/>
                <w:bCs/>
                <w:color w:val="000000"/>
              </w:rPr>
              <w:t>being operated</w:t>
            </w:r>
            <w:proofErr w:type="gramEnd"/>
            <w:r>
              <w:rPr>
                <w:rFonts w:cs="Calibri"/>
                <w:bCs/>
                <w:color w:val="000000"/>
              </w:rPr>
              <w:t xml:space="preserve"> by small group provider with some single ownership.</w:t>
            </w:r>
          </w:p>
          <w:p w:rsidR="0020161B" w:rsidRDefault="0020161B">
            <w:pPr>
              <w:spacing w:after="0" w:line="240" w:lineRule="auto"/>
              <w:jc w:val="both"/>
              <w:rPr>
                <w:rFonts w:cs="Calibri"/>
                <w:bCs/>
                <w:color w:val="000000"/>
              </w:rPr>
            </w:pPr>
          </w:p>
          <w:p w:rsidR="0020161B" w:rsidRDefault="00A923F6">
            <w:pPr>
              <w:spacing w:after="0" w:line="240" w:lineRule="auto"/>
              <w:jc w:val="both"/>
              <w:rPr>
                <w:rFonts w:cs="Calibri"/>
                <w:bCs/>
                <w:color w:val="000000"/>
              </w:rPr>
            </w:pPr>
            <w:r>
              <w:rPr>
                <w:rFonts w:cs="Calibri"/>
                <w:bCs/>
                <w:color w:val="000000"/>
              </w:rPr>
              <w:t xml:space="preserve">Over the last few </w:t>
            </w:r>
            <w:proofErr w:type="gramStart"/>
            <w:r>
              <w:rPr>
                <w:rFonts w:cs="Calibri"/>
                <w:bCs/>
                <w:color w:val="000000"/>
              </w:rPr>
              <w:t>years</w:t>
            </w:r>
            <w:proofErr w:type="gramEnd"/>
            <w:r>
              <w:rPr>
                <w:rFonts w:cs="Calibri"/>
                <w:bCs/>
                <w:color w:val="000000"/>
              </w:rPr>
              <w:t xml:space="preserve"> there has been consolidation with the care home market with a number of single ownership homes sold to small group home.  </w:t>
            </w:r>
            <w:r>
              <w:rPr>
                <w:rFonts w:cs="Calibri"/>
                <w:bCs/>
                <w:color w:val="000000"/>
              </w:rPr>
              <w:t>The only exception to this is the sale of two former HC-One homes to small group providers.</w:t>
            </w:r>
          </w:p>
          <w:p w:rsidR="0020161B" w:rsidRDefault="0020161B">
            <w:pPr>
              <w:spacing w:after="0" w:line="240" w:lineRule="auto"/>
              <w:jc w:val="both"/>
              <w:rPr>
                <w:rFonts w:cs="Calibri"/>
                <w:bCs/>
                <w:color w:val="000000"/>
              </w:rPr>
            </w:pPr>
          </w:p>
          <w:p w:rsidR="0020161B" w:rsidRDefault="00A923F6">
            <w:pPr>
              <w:spacing w:after="0" w:line="240" w:lineRule="auto"/>
              <w:jc w:val="both"/>
              <w:rPr>
                <w:rFonts w:cs="Calibri"/>
                <w:bCs/>
                <w:color w:val="000000"/>
              </w:rPr>
            </w:pPr>
            <w:r>
              <w:rPr>
                <w:rFonts w:cs="Calibri"/>
                <w:bCs/>
                <w:color w:val="000000"/>
              </w:rPr>
              <w:t xml:space="preserve">Providers have generally been using </w:t>
            </w:r>
            <w:proofErr w:type="gramStart"/>
            <w:r>
              <w:rPr>
                <w:rFonts w:cs="Calibri"/>
                <w:bCs/>
                <w:color w:val="000000"/>
              </w:rPr>
              <w:t>paper based</w:t>
            </w:r>
            <w:proofErr w:type="gramEnd"/>
            <w:r>
              <w:rPr>
                <w:rFonts w:cs="Calibri"/>
                <w:bCs/>
                <w:color w:val="000000"/>
              </w:rPr>
              <w:t xml:space="preserve"> systems for care planning and quality assurance.  8 (24%) of the care homes have moved/are in the process of moving</w:t>
            </w:r>
            <w:r>
              <w:rPr>
                <w:rFonts w:cs="Calibri"/>
                <w:bCs/>
                <w:color w:val="000000"/>
              </w:rPr>
              <w:t xml:space="preserve"> to electronic care planning with other homes considering the changes.  Electronic Medication Administration Records (</w:t>
            </w:r>
            <w:proofErr w:type="spellStart"/>
            <w:r>
              <w:rPr>
                <w:rFonts w:cs="Calibri"/>
                <w:bCs/>
                <w:color w:val="000000"/>
              </w:rPr>
              <w:t>eMARs</w:t>
            </w:r>
            <w:proofErr w:type="spellEnd"/>
            <w:r>
              <w:rPr>
                <w:rFonts w:cs="Calibri"/>
                <w:bCs/>
                <w:color w:val="000000"/>
              </w:rPr>
              <w:t xml:space="preserve">) </w:t>
            </w:r>
            <w:proofErr w:type="gramStart"/>
            <w:r>
              <w:rPr>
                <w:rFonts w:cs="Calibri"/>
                <w:bCs/>
                <w:color w:val="000000"/>
              </w:rPr>
              <w:t>have also been implemented</w:t>
            </w:r>
            <w:proofErr w:type="gramEnd"/>
            <w:r>
              <w:rPr>
                <w:rFonts w:cs="Calibri"/>
                <w:bCs/>
                <w:color w:val="000000"/>
              </w:rPr>
              <w:t xml:space="preserve"> in a number of care homes.</w:t>
            </w:r>
          </w:p>
          <w:p w:rsidR="0020161B" w:rsidRDefault="0020161B">
            <w:pPr>
              <w:spacing w:after="0" w:line="240" w:lineRule="auto"/>
              <w:jc w:val="both"/>
              <w:rPr>
                <w:rFonts w:cs="Calibri"/>
                <w:bCs/>
                <w:color w:val="000000"/>
              </w:rPr>
            </w:pPr>
          </w:p>
          <w:p w:rsidR="0020161B" w:rsidRDefault="00A923F6">
            <w:pPr>
              <w:spacing w:after="0" w:line="240" w:lineRule="auto"/>
              <w:jc w:val="both"/>
            </w:pPr>
            <w:r>
              <w:rPr>
                <w:rFonts w:cs="Calibri"/>
                <w:bCs/>
                <w:color w:val="000000"/>
              </w:rPr>
              <w:t>The Council/local care providers work closely with the local hospital (Tames</w:t>
            </w:r>
            <w:r>
              <w:rPr>
                <w:rFonts w:cs="Calibri"/>
                <w:bCs/>
                <w:color w:val="000000"/>
              </w:rPr>
              <w:t>ide &amp; Glossop Integrated Care NHS Foundation Trust) as they deliver a digital health referral service, which provides clinical advice/guidance via MS Teams calls, and aims to prevent avoidable hospital admissions.</w:t>
            </w:r>
          </w:p>
          <w:p w:rsidR="0020161B" w:rsidRDefault="0020161B">
            <w:pPr>
              <w:spacing w:after="0" w:line="240" w:lineRule="auto"/>
              <w:jc w:val="both"/>
              <w:rPr>
                <w:rFonts w:cs="Calibri"/>
                <w:bCs/>
                <w:color w:val="000000"/>
              </w:rPr>
            </w:pPr>
          </w:p>
          <w:p w:rsidR="0020161B" w:rsidRDefault="00A923F6">
            <w:pPr>
              <w:spacing w:after="0" w:line="240" w:lineRule="auto"/>
            </w:pPr>
            <w:r>
              <w:rPr>
                <w:rFonts w:cs="Calibri"/>
                <w:bCs/>
                <w:color w:val="000000"/>
              </w:rPr>
              <w:t>30 (88%) of care homes are rated either G</w:t>
            </w:r>
            <w:r>
              <w:rPr>
                <w:rFonts w:cs="Calibri"/>
                <w:bCs/>
                <w:color w:val="000000"/>
              </w:rPr>
              <w:t>ood or Outstanding, 2 (6%) Require Improvement and 2 (6%) are rated Inadequate.  The Council has an Escalation &amp; Accountability Framework in place and is working with 6 care homes to improve services/sustain the required improvements.</w:t>
            </w:r>
          </w:p>
          <w:p w:rsidR="0020161B" w:rsidRDefault="0020161B">
            <w:pPr>
              <w:spacing w:after="0" w:line="240" w:lineRule="auto"/>
              <w:rPr>
                <w:rFonts w:cs="Calibri"/>
                <w:bCs/>
                <w:color w:val="000000"/>
              </w:rPr>
            </w:pPr>
          </w:p>
          <w:p w:rsidR="0020161B" w:rsidRDefault="00A923F6">
            <w:pPr>
              <w:spacing w:after="0" w:line="240" w:lineRule="auto"/>
            </w:pPr>
            <w:r>
              <w:rPr>
                <w:rFonts w:cs="Calibri"/>
                <w:bCs/>
              </w:rPr>
              <w:t>Tameside’s current f</w:t>
            </w:r>
            <w:r>
              <w:rPr>
                <w:rFonts w:cs="Calibri"/>
                <w:bCs/>
              </w:rPr>
              <w:t xml:space="preserve">ees are: </w:t>
            </w:r>
          </w:p>
          <w:tbl>
            <w:tblPr>
              <w:tblW w:w="8544" w:type="dxa"/>
              <w:jc w:val="center"/>
              <w:tblCellMar>
                <w:left w:w="10" w:type="dxa"/>
                <w:right w:w="10" w:type="dxa"/>
              </w:tblCellMar>
              <w:tblLook w:val="0000" w:firstRow="0" w:lastRow="0" w:firstColumn="0" w:lastColumn="0" w:noHBand="0" w:noVBand="0"/>
            </w:tblPr>
            <w:tblGrid>
              <w:gridCol w:w="4008"/>
              <w:gridCol w:w="2268"/>
              <w:gridCol w:w="2268"/>
            </w:tblGrid>
            <w:tr w:rsidR="0020161B">
              <w:tblPrEx>
                <w:tblCellMar>
                  <w:top w:w="0" w:type="dxa"/>
                  <w:bottom w:w="0" w:type="dxa"/>
                </w:tblCellMar>
              </w:tblPrEx>
              <w:trPr>
                <w:trHeight w:val="265"/>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
                      <w:bCs/>
                      <w:sz w:val="20"/>
                      <w:szCs w:val="20"/>
                    </w:rPr>
                  </w:pPr>
                  <w:r>
                    <w:rPr>
                      <w:rFonts w:cs="Calibri"/>
                      <w:b/>
                      <w:bCs/>
                      <w:sz w:val="20"/>
                      <w:szCs w:val="20"/>
                    </w:rPr>
                    <w:t>Bed 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center"/>
                    <w:rPr>
                      <w:rFonts w:cs="Calibri"/>
                      <w:b/>
                      <w:bCs/>
                      <w:sz w:val="20"/>
                      <w:szCs w:val="20"/>
                    </w:rPr>
                  </w:pPr>
                  <w:r>
                    <w:rPr>
                      <w:rFonts w:cs="Calibri"/>
                      <w:b/>
                      <w:bCs/>
                      <w:sz w:val="20"/>
                      <w:szCs w:val="20"/>
                    </w:rPr>
                    <w:t>Standard Rate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center"/>
                    <w:rPr>
                      <w:rFonts w:cs="Calibri"/>
                      <w:b/>
                      <w:bCs/>
                      <w:sz w:val="20"/>
                      <w:szCs w:val="20"/>
                    </w:rPr>
                  </w:pPr>
                  <w:r>
                    <w:rPr>
                      <w:rFonts w:cs="Calibri"/>
                      <w:b/>
                      <w:bCs/>
                      <w:sz w:val="20"/>
                      <w:szCs w:val="20"/>
                    </w:rPr>
                    <w:t>Enhanced Rate</w:t>
                  </w: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Residential – Shared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£531.46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20161B">
                  <w:pPr>
                    <w:spacing w:after="0" w:line="240" w:lineRule="auto"/>
                    <w:jc w:val="center"/>
                    <w:rPr>
                      <w:rFonts w:cs="Calibri"/>
                      <w:color w:val="000000"/>
                      <w:sz w:val="20"/>
                      <w:szCs w:val="20"/>
                    </w:rPr>
                  </w:pP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Residential - Single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£580.00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£620.60</w:t>
                  </w: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Residential - Challenging Behaviour*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£633.00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£677.31</w:t>
                  </w: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Nursing – Shared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tabs>
                      <w:tab w:val="left" w:pos="930"/>
                      <w:tab w:val="center" w:pos="1150"/>
                    </w:tabs>
                    <w:spacing w:after="0" w:line="240" w:lineRule="auto"/>
                    <w:jc w:val="center"/>
                    <w:rPr>
                      <w:rFonts w:cs="Calibri"/>
                      <w:bCs/>
                      <w:sz w:val="20"/>
                      <w:szCs w:val="20"/>
                    </w:rPr>
                  </w:pPr>
                  <w:r>
                    <w:rPr>
                      <w:rFonts w:cs="Calibri"/>
                      <w:bCs/>
                      <w:sz w:val="20"/>
                      <w:szCs w:val="20"/>
                    </w:rPr>
                    <w:t>£740.23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20161B">
                  <w:pPr>
                    <w:spacing w:after="0" w:line="240" w:lineRule="auto"/>
                    <w:jc w:val="center"/>
                    <w:rPr>
                      <w:rFonts w:cs="Calibri"/>
                      <w:color w:val="000000"/>
                      <w:sz w:val="20"/>
                      <w:szCs w:val="20"/>
                    </w:rPr>
                  </w:pP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Nursing - Single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tabs>
                      <w:tab w:val="left" w:pos="930"/>
                      <w:tab w:val="center" w:pos="1150"/>
                    </w:tabs>
                    <w:spacing w:after="0" w:line="240" w:lineRule="auto"/>
                    <w:jc w:val="center"/>
                    <w:rPr>
                      <w:rFonts w:cs="Calibri"/>
                      <w:bCs/>
                      <w:sz w:val="20"/>
                      <w:szCs w:val="20"/>
                    </w:rPr>
                  </w:pPr>
                  <w:r>
                    <w:rPr>
                      <w:rFonts w:cs="Calibri"/>
                      <w:bCs/>
                      <w:sz w:val="20"/>
                      <w:szCs w:val="20"/>
                    </w:rPr>
                    <w:t>£836.59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£893.64</w:t>
                  </w:r>
                </w:p>
              </w:tc>
            </w:tr>
            <w:tr w:rsidR="0020161B">
              <w:tblPrEx>
                <w:tblCellMar>
                  <w:top w:w="0" w:type="dxa"/>
                  <w:bottom w:w="0" w:type="dxa"/>
                </w:tblCellMar>
              </w:tblPrEx>
              <w:trPr>
                <w:jc w:val="center"/>
              </w:trPr>
              <w:tc>
                <w:tcPr>
                  <w:tcW w:w="4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rPr>
                      <w:rFonts w:cs="Calibri"/>
                      <w:bCs/>
                      <w:sz w:val="20"/>
                      <w:szCs w:val="20"/>
                    </w:rPr>
                  </w:pPr>
                  <w:r>
                    <w:rPr>
                      <w:rFonts w:cs="Calibri"/>
                      <w:bCs/>
                      <w:sz w:val="20"/>
                      <w:szCs w:val="20"/>
                    </w:rPr>
                    <w:t xml:space="preserve">Nursing - Challenging </w:t>
                  </w:r>
                  <w:r>
                    <w:rPr>
                      <w:rFonts w:cs="Calibri"/>
                      <w:bCs/>
                      <w:sz w:val="20"/>
                      <w:szCs w:val="20"/>
                    </w:rPr>
                    <w:t>Behaviour*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£903.59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161B" w:rsidRDefault="00A923F6">
                  <w:pPr>
                    <w:spacing w:after="0" w:line="240" w:lineRule="auto"/>
                    <w:jc w:val="center"/>
                    <w:rPr>
                      <w:rFonts w:cs="Calibri"/>
                      <w:bCs/>
                      <w:sz w:val="20"/>
                      <w:szCs w:val="20"/>
                    </w:rPr>
                  </w:pPr>
                  <w:r>
                    <w:rPr>
                      <w:rFonts w:cs="Calibri"/>
                      <w:bCs/>
                      <w:sz w:val="20"/>
                      <w:szCs w:val="20"/>
                    </w:rPr>
                    <w:t>£965.33</w:t>
                  </w:r>
                </w:p>
              </w:tc>
            </w:tr>
          </w:tbl>
          <w:p w:rsidR="0020161B" w:rsidRDefault="0020161B">
            <w:pPr>
              <w:spacing w:after="0" w:line="240" w:lineRule="auto"/>
              <w:rPr>
                <w:rFonts w:cs="Calibri"/>
                <w:bCs/>
              </w:rPr>
            </w:pPr>
          </w:p>
          <w:p w:rsidR="0020161B" w:rsidRDefault="00A923F6">
            <w:pPr>
              <w:spacing w:after="0" w:line="240" w:lineRule="auto"/>
              <w:rPr>
                <w:rFonts w:cs="Calibri"/>
                <w:bCs/>
                <w:color w:val="000000"/>
              </w:rPr>
            </w:pPr>
            <w:r>
              <w:rPr>
                <w:rFonts w:cs="Calibri"/>
                <w:bCs/>
                <w:color w:val="000000"/>
              </w:rPr>
              <w:t xml:space="preserve">All placements are currently spot purchased. Representation </w:t>
            </w:r>
            <w:proofErr w:type="gramStart"/>
            <w:r>
              <w:rPr>
                <w:rFonts w:cs="Calibri"/>
                <w:bCs/>
                <w:color w:val="000000"/>
              </w:rPr>
              <w:t>has been made</w:t>
            </w:r>
            <w:proofErr w:type="gramEnd"/>
            <w:r>
              <w:rPr>
                <w:rFonts w:cs="Calibri"/>
                <w:bCs/>
                <w:color w:val="000000"/>
              </w:rPr>
              <w:t xml:space="preserve"> by a number of care home providers requesting increases between 12-14% based on the increased cost of utility bill, </w:t>
            </w:r>
            <w:r>
              <w:rPr>
                <w:rFonts w:cs="Calibri"/>
                <w:bCs/>
                <w:color w:val="000000"/>
              </w:rPr>
              <w:lastRenderedPageBreak/>
              <w:t>food, wages, etc.  The Council’s plan</w:t>
            </w:r>
            <w:r>
              <w:rPr>
                <w:rFonts w:cs="Calibri"/>
                <w:bCs/>
                <w:color w:val="000000"/>
              </w:rPr>
              <w:t xml:space="preserve"> to address these issues are covered later, i.e. the implementation of the Fair Cost of Care.</w:t>
            </w:r>
          </w:p>
          <w:p w:rsidR="0020161B" w:rsidRDefault="0020161B">
            <w:pPr>
              <w:spacing w:after="0" w:line="240" w:lineRule="auto"/>
              <w:rPr>
                <w:rFonts w:cs="Calibri"/>
                <w:bCs/>
              </w:rPr>
            </w:pPr>
          </w:p>
          <w:p w:rsidR="0020161B" w:rsidRDefault="00A923F6">
            <w:pPr>
              <w:spacing w:after="0" w:line="240" w:lineRule="auto"/>
              <w:rPr>
                <w:rFonts w:cs="Calibri"/>
                <w:bCs/>
              </w:rPr>
            </w:pPr>
            <w:r>
              <w:rPr>
                <w:rFonts w:cs="Calibri"/>
                <w:bCs/>
              </w:rPr>
              <w:t>Vacancy levels in Tameside:</w:t>
            </w:r>
          </w:p>
          <w:tbl>
            <w:tblPr>
              <w:tblW w:w="10000" w:type="dxa"/>
              <w:tblCellMar>
                <w:left w:w="10" w:type="dxa"/>
                <w:right w:w="10" w:type="dxa"/>
              </w:tblCellMar>
              <w:tblLook w:val="0000" w:firstRow="0" w:lastRow="0" w:firstColumn="0" w:lastColumn="0" w:noHBand="0" w:noVBand="0"/>
            </w:tblPr>
            <w:tblGrid>
              <w:gridCol w:w="1165"/>
              <w:gridCol w:w="1471"/>
              <w:gridCol w:w="1472"/>
              <w:gridCol w:w="1473"/>
              <w:gridCol w:w="1473"/>
              <w:gridCol w:w="1473"/>
              <w:gridCol w:w="1473"/>
            </w:tblGrid>
            <w:tr w:rsidR="0020161B">
              <w:tblPrEx>
                <w:tblCellMar>
                  <w:top w:w="0" w:type="dxa"/>
                  <w:bottom w:w="0" w:type="dxa"/>
                </w:tblCellMar>
              </w:tblPrEx>
              <w:trPr>
                <w:trHeight w:val="900"/>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 </w:t>
                  </w:r>
                </w:p>
              </w:tc>
              <w:tc>
                <w:tcPr>
                  <w:tcW w:w="12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Total Operational beds</w:t>
                  </w:r>
                </w:p>
              </w:tc>
              <w:tc>
                <w:tcPr>
                  <w:tcW w:w="12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Total occupied beds</w:t>
                  </w:r>
                </w:p>
              </w:tc>
              <w:tc>
                <w:tcPr>
                  <w:tcW w:w="12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Total vacancies</w:t>
                  </w:r>
                </w:p>
              </w:tc>
              <w:tc>
                <w:tcPr>
                  <w:tcW w:w="12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 Vacancies</w:t>
                  </w:r>
                </w:p>
              </w:tc>
              <w:tc>
                <w:tcPr>
                  <w:tcW w:w="12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Total beds available</w:t>
                  </w:r>
                </w:p>
              </w:tc>
              <w:tc>
                <w:tcPr>
                  <w:tcW w:w="12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 Beds available</w:t>
                  </w:r>
                </w:p>
              </w:tc>
            </w:tr>
            <w:tr w:rsidR="0020161B">
              <w:tblPrEx>
                <w:tblCellMar>
                  <w:top w:w="0" w:type="dxa"/>
                  <w:bottom w:w="0" w:type="dxa"/>
                </w:tblCellMar>
              </w:tblPrEx>
              <w:trPr>
                <w:trHeight w:val="300"/>
              </w:trPr>
              <w:tc>
                <w:tcPr>
                  <w:tcW w:w="102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02-Mar-23</w:t>
                  </w:r>
                </w:p>
              </w:tc>
              <w:tc>
                <w:tcPr>
                  <w:tcW w:w="129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1446</w:t>
                  </w:r>
                </w:p>
              </w:tc>
              <w:tc>
                <w:tcPr>
                  <w:tcW w:w="12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1257</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189</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13.1%</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78</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5.4%</w:t>
                  </w:r>
                </w:p>
              </w:tc>
            </w:tr>
            <w:tr w:rsidR="0020161B">
              <w:tblPrEx>
                <w:tblCellMar>
                  <w:top w:w="0" w:type="dxa"/>
                  <w:bottom w:w="0" w:type="dxa"/>
                </w:tblCellMar>
              </w:tblPrEx>
              <w:trPr>
                <w:trHeight w:val="300"/>
              </w:trPr>
              <w:tc>
                <w:tcPr>
                  <w:tcW w:w="102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30-Aug-22</w:t>
                  </w:r>
                </w:p>
              </w:tc>
              <w:tc>
                <w:tcPr>
                  <w:tcW w:w="129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1446</w:t>
                  </w:r>
                </w:p>
              </w:tc>
              <w:tc>
                <w:tcPr>
                  <w:tcW w:w="12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1246</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200</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13.8%</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39</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2.7%</w:t>
                  </w:r>
                </w:p>
              </w:tc>
            </w:tr>
            <w:tr w:rsidR="0020161B">
              <w:tblPrEx>
                <w:tblCellMar>
                  <w:top w:w="0" w:type="dxa"/>
                  <w:bottom w:w="0" w:type="dxa"/>
                </w:tblCellMar>
              </w:tblPrEx>
              <w:trPr>
                <w:trHeight w:val="300"/>
              </w:trPr>
              <w:tc>
                <w:tcPr>
                  <w:tcW w:w="102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28-Feb-20</w:t>
                  </w:r>
                </w:p>
              </w:tc>
              <w:tc>
                <w:tcPr>
                  <w:tcW w:w="129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1478</w:t>
                  </w:r>
                </w:p>
              </w:tc>
              <w:tc>
                <w:tcPr>
                  <w:tcW w:w="129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1331</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147</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9.9%</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132</w:t>
                  </w:r>
                </w:p>
              </w:tc>
              <w:tc>
                <w:tcPr>
                  <w:tcW w:w="12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8.9%</w:t>
                  </w:r>
                </w:p>
              </w:tc>
            </w:tr>
          </w:tbl>
          <w:p w:rsidR="0020161B" w:rsidRDefault="0020161B">
            <w:pPr>
              <w:spacing w:after="0" w:line="240" w:lineRule="auto"/>
            </w:pPr>
          </w:p>
          <w:p w:rsidR="0020161B" w:rsidRDefault="00A923F6">
            <w:pPr>
              <w:spacing w:after="0" w:line="240" w:lineRule="auto"/>
            </w:pPr>
            <w:r>
              <w:rPr>
                <w:rFonts w:cs="Calibri"/>
                <w:bCs/>
              </w:rPr>
              <w:t>Who is purchasing beds in Tameside:</w:t>
            </w:r>
          </w:p>
          <w:p w:rsidR="0020161B" w:rsidRDefault="00A923F6">
            <w:pPr>
              <w:spacing w:after="0" w:line="240" w:lineRule="auto"/>
            </w:pPr>
            <w:r>
              <w:rPr>
                <w:noProof/>
                <w:lang w:eastAsia="en-GB"/>
              </w:rPr>
              <w:drawing>
                <wp:inline distT="0" distB="0" distL="0" distR="0">
                  <wp:extent cx="5600635" cy="781126"/>
                  <wp:effectExtent l="0" t="0" r="65" b="0"/>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00635" cy="781126"/>
                          </a:xfrm>
                          <a:prstGeom prst="rect">
                            <a:avLst/>
                          </a:prstGeom>
                          <a:noFill/>
                          <a:ln>
                            <a:noFill/>
                            <a:prstDash/>
                          </a:ln>
                        </pic:spPr>
                      </pic:pic>
                    </a:graphicData>
                  </a:graphic>
                </wp:inline>
              </w:drawing>
            </w:r>
          </w:p>
          <w:p w:rsidR="0020161B" w:rsidRDefault="0020161B">
            <w:pPr>
              <w:spacing w:after="0" w:line="240" w:lineRule="auto"/>
              <w:rPr>
                <w:rFonts w:cs="Calibri"/>
                <w:bCs/>
              </w:rPr>
            </w:pPr>
          </w:p>
          <w:p w:rsidR="0020161B" w:rsidRDefault="00A923F6">
            <w:pPr>
              <w:spacing w:after="0" w:line="240" w:lineRule="auto"/>
              <w:jc w:val="both"/>
            </w:pPr>
            <w:r>
              <w:rPr>
                <w:rFonts w:cs="Calibri"/>
                <w:bCs/>
              </w:rPr>
              <w:t xml:space="preserve">The market has previously relied on a higher proportion privately funded places to be financially viable. As can be </w:t>
            </w:r>
            <w:r>
              <w:rPr>
                <w:rFonts w:cs="Calibri"/>
                <w:bCs/>
              </w:rPr>
              <w:t xml:space="preserve">seen there has been an increase in the number of beds purchased by the local health &amp; care economy (58 beds or 8%) in the since February 2020 along with a significant decrease in the numbers of fully privately funded and other local authority funded beds. </w:t>
            </w:r>
            <w:r>
              <w:rPr>
                <w:rFonts w:cs="Calibri"/>
                <w:bCs/>
              </w:rPr>
              <w:t xml:space="preserve"> </w:t>
            </w:r>
            <w:proofErr w:type="gramStart"/>
            <w:r>
              <w:rPr>
                <w:rFonts w:cs="Calibri"/>
                <w:bCs/>
              </w:rPr>
              <w:t>Therefore</w:t>
            </w:r>
            <w:proofErr w:type="gramEnd"/>
            <w:r>
              <w:rPr>
                <w:rFonts w:cs="Calibri"/>
                <w:bCs/>
              </w:rPr>
              <w:t xml:space="preserve"> there is an increased reliance on the Council/local health service to ensure providers remain financially viable.</w:t>
            </w:r>
          </w:p>
          <w:p w:rsidR="0020161B" w:rsidRDefault="0020161B">
            <w:pPr>
              <w:spacing w:after="0" w:line="240" w:lineRule="auto"/>
              <w:jc w:val="both"/>
              <w:rPr>
                <w:rFonts w:cs="Calibri"/>
                <w:bCs/>
                <w:color w:val="000000"/>
              </w:rPr>
            </w:pPr>
          </w:p>
          <w:p w:rsidR="0020161B" w:rsidRDefault="00A923F6">
            <w:pPr>
              <w:spacing w:after="0" w:line="240" w:lineRule="auto"/>
              <w:jc w:val="both"/>
              <w:rPr>
                <w:rFonts w:cs="Calibri"/>
                <w:bCs/>
                <w:color w:val="000000"/>
              </w:rPr>
            </w:pPr>
            <w:r>
              <w:rPr>
                <w:rFonts w:cs="Calibri"/>
                <w:bCs/>
                <w:color w:val="000000"/>
              </w:rPr>
              <w:t>It is unclear at this time what the impact of the delay in the charging reform will be.  However, it is hoped that, by the impleme</w:t>
            </w:r>
            <w:r>
              <w:rPr>
                <w:rFonts w:cs="Calibri"/>
                <w:bCs/>
                <w:color w:val="000000"/>
              </w:rPr>
              <w:t>ntation of the Fair Cost of Care (see section 3)</w:t>
            </w:r>
            <w:proofErr w:type="gramStart"/>
            <w:r>
              <w:rPr>
                <w:rFonts w:cs="Calibri"/>
                <w:bCs/>
                <w:color w:val="000000"/>
              </w:rPr>
              <w:t>,</w:t>
            </w:r>
            <w:proofErr w:type="gramEnd"/>
            <w:r>
              <w:rPr>
                <w:rFonts w:cs="Calibri"/>
                <w:bCs/>
                <w:color w:val="000000"/>
              </w:rPr>
              <w:t xml:space="preserve"> there will be minimal impact in Tameside.</w:t>
            </w:r>
          </w:p>
          <w:p w:rsidR="0020161B" w:rsidRDefault="0020161B">
            <w:pPr>
              <w:spacing w:after="0" w:line="240" w:lineRule="auto"/>
              <w:jc w:val="both"/>
              <w:rPr>
                <w:rFonts w:cs="Calibri"/>
                <w:bCs/>
              </w:rPr>
            </w:pPr>
          </w:p>
          <w:p w:rsidR="0020161B" w:rsidRDefault="00A923F6">
            <w:pPr>
              <w:spacing w:after="0" w:line="240" w:lineRule="auto"/>
              <w:jc w:val="both"/>
            </w:pPr>
            <w:r>
              <w:rPr>
                <w:rFonts w:cs="Calibri"/>
                <w:bCs/>
              </w:rPr>
              <w:t xml:space="preserve">Information from the sector is that they continue to struggle with recruitment, especially night care workers and nurses.  The lack of appropriate staff has meant </w:t>
            </w:r>
            <w:r>
              <w:rPr>
                <w:rFonts w:cs="Calibri"/>
                <w:bCs/>
              </w:rPr>
              <w:t xml:space="preserve">that one home deregistered their nursing provision, and that a significant number of beds have not been available for </w:t>
            </w:r>
            <w:proofErr w:type="gramStart"/>
            <w:r>
              <w:rPr>
                <w:rFonts w:cs="Calibri"/>
                <w:bCs/>
              </w:rPr>
              <w:t>use</w:t>
            </w:r>
            <w:proofErr w:type="gramEnd"/>
            <w:r>
              <w:rPr>
                <w:rFonts w:cs="Calibri"/>
                <w:bCs/>
              </w:rPr>
              <w:t xml:space="preserve"> as managers have said they cannot safely accept new residents (approx. 115 beds).</w:t>
            </w:r>
          </w:p>
          <w:p w:rsidR="0020161B" w:rsidRDefault="0020161B">
            <w:pPr>
              <w:spacing w:after="0" w:line="240" w:lineRule="auto"/>
              <w:jc w:val="both"/>
              <w:rPr>
                <w:rFonts w:cs="Calibri"/>
                <w:bCs/>
              </w:rPr>
            </w:pPr>
          </w:p>
          <w:p w:rsidR="0020161B" w:rsidRDefault="00A923F6">
            <w:pPr>
              <w:spacing w:after="0" w:line="240" w:lineRule="auto"/>
              <w:jc w:val="both"/>
            </w:pPr>
            <w:r>
              <w:rPr>
                <w:rFonts w:cs="Calibri"/>
                <w:bCs/>
              </w:rPr>
              <w:t>Staff turnover remains high 30.8% in the North West</w:t>
            </w:r>
            <w:r>
              <w:rPr>
                <w:rFonts w:cs="Calibri"/>
                <w:bCs/>
              </w:rPr>
              <w:t xml:space="preserve"> (ASC-Workforce Data 2021) with a 9.7% vacancy rate. Significant use of agency staff (particularly nurses) is affecting provider’s financial viability as well as quality of care &amp; support.</w:t>
            </w:r>
          </w:p>
          <w:p w:rsidR="0020161B" w:rsidRDefault="0020161B">
            <w:pPr>
              <w:spacing w:after="0" w:line="240" w:lineRule="auto"/>
              <w:jc w:val="both"/>
              <w:rPr>
                <w:rFonts w:cs="Calibri"/>
                <w:bCs/>
              </w:rPr>
            </w:pPr>
          </w:p>
          <w:p w:rsidR="0020161B" w:rsidRDefault="00A923F6">
            <w:pPr>
              <w:spacing w:after="0" w:line="240" w:lineRule="auto"/>
              <w:jc w:val="both"/>
            </w:pPr>
            <w:r>
              <w:rPr>
                <w:rFonts w:cs="Calibri"/>
                <w:bCs/>
              </w:rPr>
              <w:t xml:space="preserve">ASC-Workforce Data 2021 notes the proportion of directly employed </w:t>
            </w:r>
            <w:r>
              <w:rPr>
                <w:rFonts w:cs="Calibri"/>
                <w:bCs/>
              </w:rPr>
              <w:t>staff who started their role in the previous 12 months (table 4.1) in the North West for Direct care workers is 32.5%, with only 77% of those newly recruited into jobs from the adult social care sector.</w:t>
            </w:r>
          </w:p>
          <w:p w:rsidR="0020161B" w:rsidRDefault="0020161B">
            <w:pPr>
              <w:spacing w:after="0" w:line="240" w:lineRule="auto"/>
              <w:rPr>
                <w:rFonts w:cs="Calibri"/>
                <w:bCs/>
              </w:rPr>
            </w:pPr>
          </w:p>
          <w:p w:rsidR="0020161B" w:rsidRDefault="00A923F6">
            <w:pPr>
              <w:spacing w:after="0" w:line="240" w:lineRule="auto"/>
            </w:pPr>
            <w:r>
              <w:rPr>
                <w:rFonts w:cs="Calibri"/>
                <w:bCs/>
              </w:rPr>
              <w:t>Within the North-West retention is also a major issu</w:t>
            </w:r>
            <w:r>
              <w:rPr>
                <w:rFonts w:cs="Calibri"/>
                <w:bCs/>
              </w:rPr>
              <w:t>e, i.e.:</w:t>
            </w:r>
          </w:p>
          <w:tbl>
            <w:tblPr>
              <w:tblW w:w="8790" w:type="dxa"/>
              <w:tblCellMar>
                <w:left w:w="10" w:type="dxa"/>
                <w:right w:w="10" w:type="dxa"/>
              </w:tblCellMar>
              <w:tblLook w:val="0000" w:firstRow="0" w:lastRow="0" w:firstColumn="0" w:lastColumn="0" w:noHBand="0" w:noVBand="0"/>
            </w:tblPr>
            <w:tblGrid>
              <w:gridCol w:w="2847"/>
              <w:gridCol w:w="1188"/>
              <w:gridCol w:w="1189"/>
              <w:gridCol w:w="1314"/>
              <w:gridCol w:w="1063"/>
              <w:gridCol w:w="1189"/>
            </w:tblGrid>
            <w:tr w:rsidR="0020161B">
              <w:tblPrEx>
                <w:tblCellMar>
                  <w:top w:w="0" w:type="dxa"/>
                  <w:bottom w:w="0" w:type="dxa"/>
                </w:tblCellMar>
              </w:tblPrEx>
              <w:trPr>
                <w:trHeight w:val="300"/>
              </w:trPr>
              <w:tc>
                <w:tcPr>
                  <w:tcW w:w="2847" w:type="dxa"/>
                  <w:tcBorders>
                    <w:top w:val="single" w:sz="4" w:space="0" w:color="000000"/>
                    <w:left w:val="single" w:sz="8" w:space="0" w:color="000000"/>
                    <w:right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rPr>
                      <w:rFonts w:cs="Calibri"/>
                      <w:b/>
                      <w:bCs/>
                      <w:sz w:val="18"/>
                      <w:szCs w:val="18"/>
                    </w:rPr>
                  </w:pPr>
                  <w:r>
                    <w:rPr>
                      <w:rFonts w:cs="Calibri"/>
                      <w:b/>
                      <w:bCs/>
                      <w:sz w:val="18"/>
                      <w:szCs w:val="18"/>
                    </w:rPr>
                    <w:t>North West</w:t>
                  </w:r>
                </w:p>
              </w:tc>
              <w:tc>
                <w:tcPr>
                  <w:tcW w:w="1188" w:type="dxa"/>
                  <w:tcBorders>
                    <w:top w:val="single" w:sz="4" w:space="0" w:color="000000"/>
                    <w:bottom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jc w:val="center"/>
                    <w:rPr>
                      <w:rFonts w:cs="Calibri"/>
                      <w:bCs/>
                      <w:sz w:val="18"/>
                      <w:szCs w:val="18"/>
                    </w:rPr>
                  </w:pPr>
                  <w:r>
                    <w:rPr>
                      <w:rFonts w:cs="Calibri"/>
                      <w:bCs/>
                      <w:sz w:val="18"/>
                      <w:szCs w:val="18"/>
                    </w:rPr>
                    <w:t>All Job roles</w:t>
                  </w:r>
                </w:p>
              </w:tc>
              <w:tc>
                <w:tcPr>
                  <w:tcW w:w="1189" w:type="dxa"/>
                  <w:tcBorders>
                    <w:top w:val="single" w:sz="4" w:space="0" w:color="000000"/>
                    <w:bottom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jc w:val="center"/>
                    <w:rPr>
                      <w:rFonts w:cs="Calibri"/>
                      <w:bCs/>
                      <w:sz w:val="18"/>
                      <w:szCs w:val="18"/>
                    </w:rPr>
                  </w:pPr>
                  <w:r>
                    <w:rPr>
                      <w:rFonts w:cs="Calibri"/>
                      <w:bCs/>
                      <w:sz w:val="18"/>
                      <w:szCs w:val="18"/>
                    </w:rPr>
                    <w:t>Managerial</w:t>
                  </w:r>
                </w:p>
              </w:tc>
              <w:tc>
                <w:tcPr>
                  <w:tcW w:w="1314" w:type="dxa"/>
                  <w:tcBorders>
                    <w:top w:val="single" w:sz="4" w:space="0" w:color="000000"/>
                    <w:bottom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jc w:val="center"/>
                    <w:rPr>
                      <w:rFonts w:cs="Calibri"/>
                      <w:bCs/>
                      <w:sz w:val="18"/>
                      <w:szCs w:val="18"/>
                    </w:rPr>
                  </w:pPr>
                  <w:r>
                    <w:rPr>
                      <w:rFonts w:cs="Calibri"/>
                      <w:bCs/>
                      <w:sz w:val="18"/>
                      <w:szCs w:val="18"/>
                    </w:rPr>
                    <w:t>Regulated Professional</w:t>
                  </w:r>
                </w:p>
              </w:tc>
              <w:tc>
                <w:tcPr>
                  <w:tcW w:w="1063" w:type="dxa"/>
                  <w:tcBorders>
                    <w:top w:val="single" w:sz="4" w:space="0" w:color="000000"/>
                    <w:bottom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jc w:val="center"/>
                    <w:rPr>
                      <w:rFonts w:cs="Calibri"/>
                      <w:bCs/>
                      <w:sz w:val="18"/>
                      <w:szCs w:val="18"/>
                    </w:rPr>
                  </w:pPr>
                  <w:r>
                    <w:rPr>
                      <w:rFonts w:cs="Calibri"/>
                      <w:bCs/>
                      <w:sz w:val="18"/>
                      <w:szCs w:val="18"/>
                    </w:rPr>
                    <w:t>Direct Care</w:t>
                  </w:r>
                </w:p>
              </w:tc>
              <w:tc>
                <w:tcPr>
                  <w:tcW w:w="1189" w:type="dxa"/>
                  <w:tcBorders>
                    <w:top w:val="single" w:sz="4" w:space="0" w:color="000000"/>
                    <w:bottom w:val="single" w:sz="4" w:space="0" w:color="000000"/>
                  </w:tcBorders>
                  <w:shd w:val="clear" w:color="auto" w:fill="8496B0"/>
                  <w:noWrap/>
                  <w:tcMar>
                    <w:top w:w="15" w:type="dxa"/>
                    <w:left w:w="108" w:type="dxa"/>
                    <w:bottom w:w="15" w:type="dxa"/>
                    <w:right w:w="108" w:type="dxa"/>
                  </w:tcMar>
                  <w:vAlign w:val="bottom"/>
                </w:tcPr>
                <w:p w:rsidR="0020161B" w:rsidRDefault="00A923F6">
                  <w:pPr>
                    <w:spacing w:after="0" w:line="240" w:lineRule="auto"/>
                    <w:jc w:val="center"/>
                    <w:rPr>
                      <w:rFonts w:cs="Calibri"/>
                      <w:bCs/>
                      <w:sz w:val="18"/>
                      <w:szCs w:val="18"/>
                    </w:rPr>
                  </w:pPr>
                  <w:r>
                    <w:rPr>
                      <w:rFonts w:cs="Calibri"/>
                      <w:bCs/>
                      <w:sz w:val="18"/>
                      <w:szCs w:val="18"/>
                    </w:rPr>
                    <w:t>Other</w:t>
                  </w:r>
                </w:p>
              </w:tc>
            </w:tr>
            <w:tr w:rsidR="0020161B">
              <w:tblPrEx>
                <w:tblCellMar>
                  <w:top w:w="0" w:type="dxa"/>
                  <w:bottom w:w="0" w:type="dxa"/>
                </w:tblCellMar>
              </w:tblPrEx>
              <w:trPr>
                <w:trHeight w:val="300"/>
              </w:trPr>
              <w:tc>
                <w:tcPr>
                  <w:tcW w:w="2847" w:type="dxa"/>
                  <w:tcBorders>
                    <w:top w:val="single" w:sz="4" w:space="0" w:color="000000"/>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
                      <w:bCs/>
                      <w:sz w:val="20"/>
                      <w:szCs w:val="20"/>
                    </w:rPr>
                  </w:pPr>
                  <w:r>
                    <w:rPr>
                      <w:rFonts w:cs="Calibri"/>
                      <w:b/>
                      <w:bCs/>
                      <w:sz w:val="20"/>
                      <w:szCs w:val="20"/>
                    </w:rPr>
                    <w:t>Total filled posts</w:t>
                  </w:r>
                </w:p>
              </w:tc>
              <w:tc>
                <w:tcPr>
                  <w:tcW w:w="1188" w:type="dxa"/>
                  <w:tcBorders>
                    <w:top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
                      <w:bCs/>
                      <w:sz w:val="20"/>
                      <w:szCs w:val="20"/>
                    </w:rPr>
                  </w:pPr>
                  <w:r>
                    <w:rPr>
                      <w:rFonts w:cs="Calibri"/>
                      <w:b/>
                      <w:bCs/>
                      <w:sz w:val="20"/>
                      <w:szCs w:val="20"/>
                    </w:rPr>
                    <w:t>190,000</w:t>
                  </w:r>
                </w:p>
              </w:tc>
              <w:tc>
                <w:tcPr>
                  <w:tcW w:w="1189" w:type="dxa"/>
                  <w:tcBorders>
                    <w:top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
                      <w:bCs/>
                      <w:sz w:val="20"/>
                      <w:szCs w:val="20"/>
                    </w:rPr>
                  </w:pPr>
                  <w:r>
                    <w:rPr>
                      <w:rFonts w:cs="Calibri"/>
                      <w:b/>
                      <w:bCs/>
                      <w:sz w:val="20"/>
                      <w:szCs w:val="20"/>
                    </w:rPr>
                    <w:t>14,500</w:t>
                  </w:r>
                </w:p>
              </w:tc>
              <w:tc>
                <w:tcPr>
                  <w:tcW w:w="1314" w:type="dxa"/>
                  <w:tcBorders>
                    <w:top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
                      <w:bCs/>
                      <w:sz w:val="20"/>
                      <w:szCs w:val="20"/>
                    </w:rPr>
                  </w:pPr>
                  <w:r>
                    <w:rPr>
                      <w:rFonts w:cs="Calibri"/>
                      <w:b/>
                      <w:bCs/>
                      <w:sz w:val="20"/>
                      <w:szCs w:val="20"/>
                    </w:rPr>
                    <w:t>8,100</w:t>
                  </w:r>
                </w:p>
              </w:tc>
              <w:tc>
                <w:tcPr>
                  <w:tcW w:w="1063" w:type="dxa"/>
                  <w:tcBorders>
                    <w:top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
                      <w:bCs/>
                      <w:sz w:val="20"/>
                      <w:szCs w:val="20"/>
                    </w:rPr>
                  </w:pPr>
                  <w:r>
                    <w:rPr>
                      <w:rFonts w:cs="Calibri"/>
                      <w:b/>
                      <w:bCs/>
                      <w:sz w:val="20"/>
                      <w:szCs w:val="20"/>
                    </w:rPr>
                    <w:t>141,000</w:t>
                  </w:r>
                </w:p>
              </w:tc>
              <w:tc>
                <w:tcPr>
                  <w:tcW w:w="1189" w:type="dxa"/>
                  <w:tcBorders>
                    <w:top w:val="single" w:sz="4" w:space="0" w:color="000000"/>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
                      <w:bCs/>
                      <w:sz w:val="20"/>
                      <w:szCs w:val="20"/>
                    </w:rPr>
                  </w:pPr>
                  <w:r>
                    <w:rPr>
                      <w:rFonts w:cs="Calibri"/>
                      <w:b/>
                      <w:bCs/>
                      <w:sz w:val="20"/>
                      <w:szCs w:val="20"/>
                    </w:rPr>
                    <w:t>27,000</w:t>
                  </w:r>
                </w:p>
              </w:tc>
            </w:tr>
            <w:tr w:rsidR="0020161B">
              <w:tblPrEx>
                <w:tblCellMar>
                  <w:top w:w="0" w:type="dxa"/>
                  <w:bottom w:w="0" w:type="dxa"/>
                </w:tblCellMar>
              </w:tblPrEx>
              <w:trPr>
                <w:trHeight w:val="285"/>
              </w:trPr>
              <w:tc>
                <w:tcPr>
                  <w:tcW w:w="2847" w:type="dxa"/>
                  <w:tcBorders>
                    <w:top w:val="dotted" w:sz="4" w:space="0" w:color="000000"/>
                    <w:left w:val="single" w:sz="8" w:space="0" w:color="000000"/>
                    <w:bottom w:val="dotted"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i/>
                      <w:iCs/>
                      <w:sz w:val="20"/>
                      <w:szCs w:val="20"/>
                    </w:rPr>
                  </w:pPr>
                  <w:r>
                    <w:rPr>
                      <w:rFonts w:cs="Calibri"/>
                      <w:bCs/>
                      <w:i/>
                      <w:iCs/>
                      <w:sz w:val="20"/>
                      <w:szCs w:val="20"/>
                    </w:rPr>
                    <w:t>Average years in role</w:t>
                  </w:r>
                </w:p>
              </w:tc>
              <w:tc>
                <w:tcPr>
                  <w:tcW w:w="1188" w:type="dxa"/>
                  <w:tcBorders>
                    <w:top w:val="dotted" w:sz="4" w:space="0" w:color="000000"/>
                    <w:bottom w:val="dotted"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i/>
                      <w:iCs/>
                      <w:sz w:val="20"/>
                      <w:szCs w:val="20"/>
                    </w:rPr>
                  </w:pPr>
                  <w:r>
                    <w:rPr>
                      <w:rFonts w:cs="Calibri"/>
                      <w:bCs/>
                      <w:i/>
                      <w:iCs/>
                      <w:sz w:val="20"/>
                      <w:szCs w:val="20"/>
                    </w:rPr>
                    <w:t>4.9</w:t>
                  </w:r>
                </w:p>
              </w:tc>
              <w:tc>
                <w:tcPr>
                  <w:tcW w:w="1189" w:type="dxa"/>
                  <w:tcBorders>
                    <w:top w:val="dotted" w:sz="4" w:space="0" w:color="000000"/>
                    <w:bottom w:val="dotted"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i/>
                      <w:iCs/>
                      <w:sz w:val="20"/>
                      <w:szCs w:val="20"/>
                    </w:rPr>
                  </w:pPr>
                  <w:r>
                    <w:rPr>
                      <w:rFonts w:cs="Calibri"/>
                      <w:bCs/>
                      <w:i/>
                      <w:iCs/>
                      <w:sz w:val="20"/>
                      <w:szCs w:val="20"/>
                    </w:rPr>
                    <w:t>8.2</w:t>
                  </w:r>
                </w:p>
              </w:tc>
              <w:tc>
                <w:tcPr>
                  <w:tcW w:w="1314" w:type="dxa"/>
                  <w:tcBorders>
                    <w:top w:val="dotted" w:sz="4" w:space="0" w:color="000000"/>
                    <w:bottom w:val="dotted"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i/>
                      <w:iCs/>
                      <w:sz w:val="20"/>
                      <w:szCs w:val="20"/>
                    </w:rPr>
                  </w:pPr>
                  <w:r>
                    <w:rPr>
                      <w:rFonts w:cs="Calibri"/>
                      <w:bCs/>
                      <w:i/>
                      <w:iCs/>
                      <w:sz w:val="20"/>
                      <w:szCs w:val="20"/>
                    </w:rPr>
                    <w:t>4.7</w:t>
                  </w:r>
                </w:p>
              </w:tc>
              <w:tc>
                <w:tcPr>
                  <w:tcW w:w="1063" w:type="dxa"/>
                  <w:tcBorders>
                    <w:top w:val="dotted" w:sz="4" w:space="0" w:color="000000"/>
                    <w:bottom w:val="dotted"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i/>
                      <w:iCs/>
                      <w:sz w:val="20"/>
                      <w:szCs w:val="20"/>
                    </w:rPr>
                  </w:pPr>
                  <w:r>
                    <w:rPr>
                      <w:rFonts w:cs="Calibri"/>
                      <w:bCs/>
                      <w:i/>
                      <w:iCs/>
                      <w:sz w:val="20"/>
                      <w:szCs w:val="20"/>
                    </w:rPr>
                    <w:t>4.4</w:t>
                  </w:r>
                </w:p>
              </w:tc>
              <w:tc>
                <w:tcPr>
                  <w:tcW w:w="1189" w:type="dxa"/>
                  <w:tcBorders>
                    <w:top w:val="dotted" w:sz="4" w:space="0" w:color="000000"/>
                    <w:bottom w:val="dotted" w:sz="4" w:space="0" w:color="000000"/>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i/>
                      <w:iCs/>
                      <w:sz w:val="20"/>
                      <w:szCs w:val="20"/>
                    </w:rPr>
                  </w:pPr>
                  <w:r>
                    <w:rPr>
                      <w:rFonts w:cs="Calibri"/>
                      <w:bCs/>
                      <w:i/>
                      <w:iCs/>
                      <w:sz w:val="20"/>
                      <w:szCs w:val="20"/>
                    </w:rPr>
                    <w:t>6.0</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Less than 1 year</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23%</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10%</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17%</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26%</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17%</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1 to 2 years</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25%</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15%</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21%</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27%</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22%</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3 to 4 years</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16%</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14%</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15%</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16%</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17%</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5 to 6 years</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10%</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11%</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12%</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10%</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10%</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lastRenderedPageBreak/>
                    <w:t>7 to 9 years</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9%</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13%</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13%</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8%</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11%</w:t>
                  </w:r>
                </w:p>
              </w:tc>
            </w:tr>
            <w:tr w:rsidR="0020161B">
              <w:tblPrEx>
                <w:tblCellMar>
                  <w:top w:w="0" w:type="dxa"/>
                  <w:bottom w:w="0" w:type="dxa"/>
                </w:tblCellMar>
              </w:tblPrEx>
              <w:trPr>
                <w:trHeight w:val="285"/>
              </w:trPr>
              <w:tc>
                <w:tcPr>
                  <w:tcW w:w="2847" w:type="dxa"/>
                  <w:tcBorders>
                    <w:left w:val="single" w:sz="8"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10 to 19 years</w:t>
                  </w:r>
                </w:p>
              </w:tc>
              <w:tc>
                <w:tcPr>
                  <w:tcW w:w="1188"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14%</w:t>
                  </w:r>
                </w:p>
              </w:tc>
              <w:tc>
                <w:tcPr>
                  <w:tcW w:w="1189"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25%</w:t>
                  </w:r>
                </w:p>
              </w:tc>
              <w:tc>
                <w:tcPr>
                  <w:tcW w:w="1314"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17%</w:t>
                  </w:r>
                </w:p>
              </w:tc>
              <w:tc>
                <w:tcPr>
                  <w:tcW w:w="1063" w:type="dxa"/>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11%</w:t>
                  </w:r>
                </w:p>
              </w:tc>
              <w:tc>
                <w:tcPr>
                  <w:tcW w:w="1189" w:type="dxa"/>
                  <w:tcBorders>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18%</w:t>
                  </w:r>
                </w:p>
              </w:tc>
            </w:tr>
            <w:tr w:rsidR="0020161B">
              <w:tblPrEx>
                <w:tblCellMar>
                  <w:top w:w="0" w:type="dxa"/>
                  <w:bottom w:w="0" w:type="dxa"/>
                </w:tblCellMar>
              </w:tblPrEx>
              <w:trPr>
                <w:trHeight w:val="285"/>
              </w:trPr>
              <w:tc>
                <w:tcPr>
                  <w:tcW w:w="2847" w:type="dxa"/>
                  <w:tcBorders>
                    <w:left w:val="single" w:sz="8"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cs="Calibri"/>
                      <w:bCs/>
                      <w:sz w:val="20"/>
                      <w:szCs w:val="20"/>
                    </w:rPr>
                  </w:pPr>
                  <w:r>
                    <w:rPr>
                      <w:rFonts w:cs="Calibri"/>
                      <w:bCs/>
                      <w:sz w:val="20"/>
                      <w:szCs w:val="20"/>
                    </w:rPr>
                    <w:t>20 years or more</w:t>
                  </w:r>
                </w:p>
              </w:tc>
              <w:tc>
                <w:tcPr>
                  <w:tcW w:w="1188" w:type="dxa"/>
                  <w:tcBorders>
                    <w:bottom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4%</w:t>
                  </w:r>
                </w:p>
              </w:tc>
              <w:tc>
                <w:tcPr>
                  <w:tcW w:w="1189" w:type="dxa"/>
                  <w:tcBorders>
                    <w:bottom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12%</w:t>
                  </w:r>
                </w:p>
              </w:tc>
              <w:tc>
                <w:tcPr>
                  <w:tcW w:w="1314" w:type="dxa"/>
                  <w:tcBorders>
                    <w:bottom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5%</w:t>
                  </w:r>
                </w:p>
              </w:tc>
              <w:tc>
                <w:tcPr>
                  <w:tcW w:w="1063" w:type="dxa"/>
                  <w:tcBorders>
                    <w:bottom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3%</w:t>
                  </w:r>
                </w:p>
              </w:tc>
              <w:tc>
                <w:tcPr>
                  <w:tcW w:w="1189" w:type="dxa"/>
                  <w:tcBorders>
                    <w:bottom w:val="single" w:sz="4" w:space="0" w:color="000000"/>
                    <w:right w:val="single" w:sz="8"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jc w:val="center"/>
                    <w:rPr>
                      <w:rFonts w:cs="Calibri"/>
                      <w:bCs/>
                      <w:sz w:val="20"/>
                      <w:szCs w:val="20"/>
                    </w:rPr>
                  </w:pPr>
                  <w:r>
                    <w:rPr>
                      <w:rFonts w:cs="Calibri"/>
                      <w:bCs/>
                      <w:sz w:val="20"/>
                      <w:szCs w:val="20"/>
                    </w:rPr>
                    <w:t>6%</w:t>
                  </w:r>
                </w:p>
              </w:tc>
            </w:tr>
          </w:tbl>
          <w:p w:rsidR="0020161B" w:rsidRDefault="0020161B">
            <w:pPr>
              <w:spacing w:after="0" w:line="240" w:lineRule="auto"/>
              <w:ind w:left="720"/>
              <w:jc w:val="both"/>
              <w:rPr>
                <w:rFonts w:ascii="Arial" w:hAnsi="Arial"/>
                <w:color w:val="FF0000"/>
                <w:sz w:val="24"/>
                <w:szCs w:val="24"/>
              </w:rPr>
            </w:pP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numPr>
                <w:ilvl w:val="0"/>
                <w:numId w:val="2"/>
              </w:numPr>
              <w:spacing w:after="0" w:line="240" w:lineRule="auto"/>
              <w:jc w:val="both"/>
              <w:rPr>
                <w:rFonts w:ascii="Arial" w:hAnsi="Arial"/>
                <w:b/>
                <w:bCs/>
                <w:sz w:val="24"/>
                <w:szCs w:val="24"/>
              </w:rPr>
            </w:pPr>
            <w:r>
              <w:rPr>
                <w:rFonts w:ascii="Arial" w:hAnsi="Arial"/>
                <w:b/>
                <w:bCs/>
                <w:sz w:val="24"/>
                <w:szCs w:val="24"/>
              </w:rPr>
              <w:lastRenderedPageBreak/>
              <w:t>Assessment of current sustainability of the 18+ domiciliary care market</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both"/>
            </w:pPr>
            <w:r>
              <w:rPr>
                <w:rFonts w:cs="Calibri"/>
                <w:iCs/>
              </w:rPr>
              <w:t xml:space="preserve">For the </w:t>
            </w:r>
            <w:r>
              <w:rPr>
                <w:rFonts w:cs="Calibri"/>
                <w:iCs/>
              </w:rPr>
              <w:t>week commencing 30 January 2023 Tameside Council commissioned services from 21 external providers as well as proving some support via internal services (this was 10 in March 2020).  The tables below show the number of hours commissioned in Tameside for bot</w:t>
            </w:r>
            <w:r>
              <w:rPr>
                <w:rFonts w:cs="Calibri"/>
                <w:iCs/>
              </w:rPr>
              <w:t>h the w/c 3 October 2022 and 16 March 2020:</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t>All home care hours commissioned via the Council (includes some CHC funded service users):</w:t>
            </w:r>
          </w:p>
          <w:p w:rsidR="0020161B" w:rsidRDefault="00A923F6">
            <w:pPr>
              <w:spacing w:after="0" w:line="240" w:lineRule="auto"/>
            </w:pPr>
            <w:r>
              <w:t xml:space="preserve"> </w:t>
            </w:r>
            <w:r>
              <w:rPr>
                <w:noProof/>
                <w:lang w:eastAsia="en-GB"/>
              </w:rPr>
              <w:drawing>
                <wp:inline distT="0" distB="0" distL="0" distR="0">
                  <wp:extent cx="5622636" cy="658029"/>
                  <wp:effectExtent l="0" t="0" r="0" b="8721"/>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22636" cy="658029"/>
                          </a:xfrm>
                          <a:prstGeom prst="rect">
                            <a:avLst/>
                          </a:prstGeom>
                          <a:noFill/>
                          <a:ln>
                            <a:noFill/>
                            <a:prstDash/>
                          </a:ln>
                        </pic:spPr>
                      </pic:pic>
                    </a:graphicData>
                  </a:graphic>
                </wp:inline>
              </w:drawing>
            </w:r>
          </w:p>
          <w:p w:rsidR="0020161B" w:rsidRDefault="0020161B">
            <w:pPr>
              <w:spacing w:after="0" w:line="240" w:lineRule="auto"/>
              <w:rPr>
                <w:rFonts w:cs="Calibri"/>
                <w:iCs/>
              </w:rPr>
            </w:pPr>
          </w:p>
          <w:p w:rsidR="0020161B" w:rsidRDefault="00A923F6">
            <w:pPr>
              <w:spacing w:after="0" w:line="240" w:lineRule="auto"/>
            </w:pPr>
            <w:r>
              <w:rPr>
                <w:rFonts w:cs="Calibri"/>
                <w:iCs/>
              </w:rPr>
              <w:t>Home care hours (excluding any CHC funded service users):</w:t>
            </w:r>
          </w:p>
          <w:p w:rsidR="0020161B" w:rsidRDefault="00A923F6">
            <w:pPr>
              <w:spacing w:after="0" w:line="240" w:lineRule="auto"/>
            </w:pPr>
            <w:r>
              <w:t xml:space="preserve"> </w:t>
            </w:r>
            <w:r>
              <w:rPr>
                <w:noProof/>
                <w:lang w:eastAsia="en-GB"/>
              </w:rPr>
              <w:drawing>
                <wp:inline distT="0" distB="0" distL="0" distR="0">
                  <wp:extent cx="5571082" cy="639887"/>
                  <wp:effectExtent l="0" t="0" r="0" b="7813"/>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571082" cy="639887"/>
                          </a:xfrm>
                          <a:prstGeom prst="rect">
                            <a:avLst/>
                          </a:prstGeom>
                          <a:noFill/>
                          <a:ln>
                            <a:noFill/>
                            <a:prstDash/>
                          </a:ln>
                        </pic:spPr>
                      </pic:pic>
                    </a:graphicData>
                  </a:graphic>
                </wp:inline>
              </w:drawing>
            </w:r>
          </w:p>
          <w:p w:rsidR="0020161B" w:rsidRDefault="0020161B">
            <w:pPr>
              <w:spacing w:after="0" w:line="240" w:lineRule="auto"/>
              <w:rPr>
                <w:rFonts w:cs="Calibri"/>
                <w:iCs/>
              </w:rPr>
            </w:pPr>
          </w:p>
          <w:p w:rsidR="0020161B" w:rsidRDefault="00A923F6">
            <w:pPr>
              <w:spacing w:after="0" w:line="240" w:lineRule="auto"/>
              <w:jc w:val="both"/>
            </w:pPr>
            <w:r>
              <w:rPr>
                <w:rFonts w:cs="Calibri"/>
                <w:iCs/>
              </w:rPr>
              <w:t>Within the above figures please note there are some sp</w:t>
            </w:r>
            <w:r>
              <w:rPr>
                <w:rFonts w:cs="Calibri"/>
                <w:iCs/>
              </w:rPr>
              <w:t>lit packages of care, i.e. an external provider delivering part of the care package with the in-house delivery a ‘through the night’ service, and therefore there will be some discrepancies in numbers of service users.</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t xml:space="preserve">As you may be </w:t>
            </w:r>
            <w:proofErr w:type="gramStart"/>
            <w:r>
              <w:rPr>
                <w:rFonts w:cs="Calibri"/>
                <w:iCs/>
              </w:rPr>
              <w:t>aware</w:t>
            </w:r>
            <w:proofErr w:type="gramEnd"/>
            <w:r>
              <w:rPr>
                <w:rFonts w:cs="Calibri"/>
                <w:iCs/>
              </w:rPr>
              <w:t xml:space="preserve"> Tameside has impl</w:t>
            </w:r>
            <w:r>
              <w:rPr>
                <w:rFonts w:cs="Calibri"/>
                <w:iCs/>
              </w:rPr>
              <w:t>emented a strengths-based approach to home care (as referenced in the White Paper ‘People at the Heart of Care’ – para. 7.8).  The table below shows the hours commissioned vis the Strength’s based approach and other standard hours commissioned in the borou</w:t>
            </w:r>
            <w:r>
              <w:rPr>
                <w:rFonts w:cs="Calibri"/>
                <w:iCs/>
              </w:rPr>
              <w:t>gh:</w:t>
            </w:r>
          </w:p>
          <w:p w:rsidR="0020161B" w:rsidRDefault="0020161B">
            <w:pPr>
              <w:spacing w:after="0" w:line="240" w:lineRule="auto"/>
              <w:rPr>
                <w:rFonts w:cs="Calibri"/>
                <w:iCs/>
              </w:rPr>
            </w:pPr>
          </w:p>
          <w:p w:rsidR="0020161B" w:rsidRDefault="00A923F6">
            <w:pPr>
              <w:spacing w:after="0" w:line="240" w:lineRule="auto"/>
            </w:pPr>
            <w:r>
              <w:rPr>
                <w:noProof/>
                <w:lang w:eastAsia="en-GB"/>
              </w:rPr>
              <w:drawing>
                <wp:inline distT="0" distB="0" distL="0" distR="0">
                  <wp:extent cx="5562532" cy="933547"/>
                  <wp:effectExtent l="0" t="0" r="68" b="0"/>
                  <wp:docPr id="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62532" cy="933547"/>
                          </a:xfrm>
                          <a:prstGeom prst="rect">
                            <a:avLst/>
                          </a:prstGeom>
                          <a:noFill/>
                          <a:ln>
                            <a:noFill/>
                            <a:prstDash/>
                          </a:ln>
                        </pic:spPr>
                      </pic:pic>
                    </a:graphicData>
                  </a:graphic>
                </wp:inline>
              </w:drawing>
            </w:r>
            <w:r>
              <w:rPr>
                <w:rStyle w:val="CommentReference"/>
                <w:sz w:val="24"/>
                <w:szCs w:val="24"/>
              </w:rPr>
              <w:t xml:space="preserve"> </w:t>
            </w:r>
          </w:p>
          <w:p w:rsidR="0020161B" w:rsidRDefault="0020161B">
            <w:pPr>
              <w:spacing w:after="0" w:line="240" w:lineRule="auto"/>
              <w:rPr>
                <w:rFonts w:cs="Calibri"/>
                <w:iCs/>
              </w:rPr>
            </w:pPr>
          </w:p>
          <w:p w:rsidR="0020161B" w:rsidRDefault="00A923F6">
            <w:pPr>
              <w:spacing w:after="0" w:line="240" w:lineRule="auto"/>
              <w:jc w:val="both"/>
            </w:pPr>
            <w:r>
              <w:rPr>
                <w:rFonts w:cs="Calibri"/>
                <w:iCs/>
              </w:rPr>
              <w:t xml:space="preserve">Since the onset of the </w:t>
            </w:r>
            <w:proofErr w:type="gramStart"/>
            <w:r>
              <w:rPr>
                <w:rFonts w:cs="Calibri"/>
                <w:iCs/>
              </w:rPr>
              <w:t>pandemic</w:t>
            </w:r>
            <w:proofErr w:type="gramEnd"/>
            <w:r>
              <w:rPr>
                <w:rFonts w:cs="Calibri"/>
                <w:iCs/>
              </w:rPr>
              <w:t xml:space="preserve"> the Council has had to commission more hours through standard home care providers due to the increased demand on services.</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t xml:space="preserve">As can be seen in the tables above there has been a significant increase in the number of </w:t>
            </w:r>
            <w:r>
              <w:rPr>
                <w:rFonts w:cs="Calibri"/>
                <w:iCs/>
              </w:rPr>
              <w:t xml:space="preserve">commissioned hours since </w:t>
            </w:r>
            <w:proofErr w:type="spellStart"/>
            <w:r>
              <w:rPr>
                <w:rFonts w:cs="Calibri"/>
                <w:iCs/>
              </w:rPr>
              <w:t>covid</w:t>
            </w:r>
            <w:proofErr w:type="spellEnd"/>
            <w:r>
              <w:rPr>
                <w:rFonts w:cs="Calibri"/>
                <w:iCs/>
              </w:rPr>
              <w:t>, albeit a slight reduction in the last 3 months (had peaked at 41% increase in commissioned hours (now at 35%) and 20% more service users).</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t xml:space="preserve">Of the 21 providers in </w:t>
            </w:r>
            <w:proofErr w:type="gramStart"/>
            <w:r>
              <w:rPr>
                <w:rFonts w:cs="Calibri"/>
                <w:iCs/>
              </w:rPr>
              <w:t>Tameside</w:t>
            </w:r>
            <w:proofErr w:type="gramEnd"/>
            <w:r>
              <w:rPr>
                <w:rFonts w:cs="Calibri"/>
                <w:iCs/>
              </w:rPr>
              <w:t xml:space="preserve"> there are three main national providers – Comfort Ca</w:t>
            </w:r>
            <w:r>
              <w:rPr>
                <w:rFonts w:cs="Calibri"/>
                <w:iCs/>
              </w:rPr>
              <w:t xml:space="preserve">ll, </w:t>
            </w:r>
            <w:proofErr w:type="spellStart"/>
            <w:r>
              <w:rPr>
                <w:rFonts w:cs="Calibri"/>
                <w:iCs/>
              </w:rPr>
              <w:t>Careline</w:t>
            </w:r>
            <w:proofErr w:type="spellEnd"/>
            <w:r>
              <w:rPr>
                <w:rFonts w:cs="Calibri"/>
                <w:iCs/>
              </w:rPr>
              <w:t xml:space="preserve"> &amp; </w:t>
            </w:r>
            <w:proofErr w:type="spellStart"/>
            <w:r>
              <w:rPr>
                <w:rFonts w:cs="Calibri"/>
                <w:iCs/>
              </w:rPr>
              <w:t>Medacs</w:t>
            </w:r>
            <w:proofErr w:type="spellEnd"/>
            <w:r>
              <w:rPr>
                <w:rFonts w:cs="Calibri"/>
                <w:iCs/>
              </w:rPr>
              <w:t xml:space="preserve">.  Comfort Call &amp; </w:t>
            </w:r>
            <w:proofErr w:type="spellStart"/>
            <w:r>
              <w:rPr>
                <w:rFonts w:cs="Calibri"/>
                <w:iCs/>
              </w:rPr>
              <w:t>Careline</w:t>
            </w:r>
            <w:proofErr w:type="spellEnd"/>
            <w:r>
              <w:rPr>
                <w:rFonts w:cs="Calibri"/>
                <w:iCs/>
              </w:rPr>
              <w:t xml:space="preserve"> are both owned/operated by City &amp; County and have 27% (was 31%) of the 3,622 externally commissioned hours (was 4,300 hours) delivered to 32% (was 36%) of the service users (373 but was 441 in w/c 3 Oct 2022 </w:t>
            </w:r>
            <w:r>
              <w:rPr>
                <w:rFonts w:cs="Calibri"/>
                <w:iCs/>
              </w:rPr>
              <w:t xml:space="preserve">people). </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lastRenderedPageBreak/>
              <w:t>Other providers are a mix of regional &amp; local providers.  Recently, in order to try to meet demand, the Council has commissioned with a number of small providers who have only recently registered with the CQC (5 providers with a combined 1,867 h</w:t>
            </w:r>
            <w:r>
              <w:rPr>
                <w:rFonts w:cs="Calibri"/>
                <w:iCs/>
              </w:rPr>
              <w:t>ours and 142 service users (13% and 12% respectively).</w:t>
            </w:r>
          </w:p>
          <w:p w:rsidR="0020161B" w:rsidRDefault="0020161B">
            <w:pPr>
              <w:spacing w:after="0" w:line="240" w:lineRule="auto"/>
              <w:jc w:val="both"/>
              <w:rPr>
                <w:rFonts w:cs="Calibri"/>
                <w:iCs/>
              </w:rPr>
            </w:pPr>
          </w:p>
          <w:p w:rsidR="0020161B" w:rsidRDefault="00A923F6">
            <w:pPr>
              <w:spacing w:after="0" w:line="240" w:lineRule="auto"/>
              <w:jc w:val="both"/>
            </w:pPr>
            <w:r>
              <w:rPr>
                <w:rFonts w:cs="Calibri"/>
                <w:iCs/>
              </w:rPr>
              <w:t>The Council has had (and still has) difficulties commissioning packages of care for all service users (for a variety of reasons, including a request for a specific worker, requesting a specific provid</w:t>
            </w:r>
            <w:r>
              <w:rPr>
                <w:rFonts w:cs="Calibri"/>
                <w:iCs/>
              </w:rPr>
              <w:t xml:space="preserve">er that </w:t>
            </w:r>
            <w:proofErr w:type="gramStart"/>
            <w:r>
              <w:rPr>
                <w:rFonts w:cs="Calibri"/>
                <w:iCs/>
              </w:rPr>
              <w:t>doesn’t</w:t>
            </w:r>
            <w:proofErr w:type="gramEnd"/>
            <w:r>
              <w:rPr>
                <w:rFonts w:cs="Calibri"/>
                <w:iCs/>
              </w:rPr>
              <w:t xml:space="preserve"> have capacity, etc.).  The table below notes the number of hours (and number of service users) for several dates to highlight the pressures:</w:t>
            </w:r>
          </w:p>
          <w:p w:rsidR="0020161B" w:rsidRDefault="0020161B">
            <w:pPr>
              <w:spacing w:after="0" w:line="240" w:lineRule="auto"/>
              <w:rPr>
                <w:rFonts w:cs="Calibri"/>
                <w:iCs/>
              </w:rPr>
            </w:pPr>
          </w:p>
          <w:p w:rsidR="0020161B" w:rsidRDefault="00A923F6">
            <w:pPr>
              <w:spacing w:after="0" w:line="240" w:lineRule="auto"/>
            </w:pPr>
            <w:r>
              <w:rPr>
                <w:rFonts w:cs="Calibri"/>
                <w:iCs/>
              </w:rPr>
              <w:t>Service Users who require a long term support package</w:t>
            </w:r>
          </w:p>
          <w:tbl>
            <w:tblPr>
              <w:tblW w:w="5560" w:type="dxa"/>
              <w:tblCellMar>
                <w:left w:w="10" w:type="dxa"/>
                <w:right w:w="10" w:type="dxa"/>
              </w:tblCellMar>
              <w:tblLook w:val="0000" w:firstRow="0" w:lastRow="0" w:firstColumn="0" w:lastColumn="0" w:noHBand="0" w:noVBand="0"/>
            </w:tblPr>
            <w:tblGrid>
              <w:gridCol w:w="1480"/>
              <w:gridCol w:w="1480"/>
              <w:gridCol w:w="1480"/>
              <w:gridCol w:w="1120"/>
            </w:tblGrid>
            <w:tr w:rsidR="0020161B">
              <w:tblPrEx>
                <w:tblCellMar>
                  <w:top w:w="0" w:type="dxa"/>
                  <w:bottom w:w="0" w:type="dxa"/>
                </w:tblCellMar>
              </w:tblPrEx>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w:t>
                  </w:r>
                </w:p>
              </w:tc>
              <w:tc>
                <w:tcPr>
                  <w:tcW w:w="14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Hrs required</w:t>
                  </w:r>
                </w:p>
              </w:tc>
              <w:tc>
                <w:tcPr>
                  <w:tcW w:w="14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No. of SUs</w:t>
                  </w:r>
                </w:p>
              </w:tc>
              <w:tc>
                <w:tcPr>
                  <w:tcW w:w="11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Ave./SU</w:t>
                  </w:r>
                </w:p>
              </w:tc>
            </w:tr>
            <w:tr w:rsidR="0020161B">
              <w:tblPrEx>
                <w:tblCellMar>
                  <w:top w:w="0" w:type="dxa"/>
                  <w:bottom w:w="0" w:type="dxa"/>
                </w:tblCellMar>
              </w:tblPrEx>
              <w:trPr>
                <w:trHeight w:val="300"/>
              </w:trPr>
              <w:tc>
                <w:tcPr>
                  <w:tcW w:w="1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cs="Calibri"/>
                      <w:sz w:val="20"/>
                      <w:szCs w:val="20"/>
                    </w:rPr>
                  </w:pPr>
                  <w:r>
                    <w:rPr>
                      <w:rFonts w:cs="Calibri"/>
                      <w:sz w:val="20"/>
                      <w:szCs w:val="20"/>
                    </w:rPr>
                    <w:t>17-Mar-23</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131</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13</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10.11</w:t>
                  </w:r>
                </w:p>
              </w:tc>
            </w:tr>
            <w:tr w:rsidR="0020161B">
              <w:tblPrEx>
                <w:tblCellMar>
                  <w:top w:w="0" w:type="dxa"/>
                  <w:bottom w:w="0" w:type="dxa"/>
                </w:tblCellMar>
              </w:tblPrEx>
              <w:trPr>
                <w:trHeight w:val="300"/>
              </w:trPr>
              <w:tc>
                <w:tcPr>
                  <w:tcW w:w="1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10-Oct-22</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72</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9</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8</w:t>
                  </w:r>
                </w:p>
              </w:tc>
            </w:tr>
            <w:tr w:rsidR="0020161B">
              <w:tblPrEx>
                <w:tblCellMar>
                  <w:top w:w="0" w:type="dxa"/>
                  <w:bottom w:w="0" w:type="dxa"/>
                </w:tblCellMar>
              </w:tblPrEx>
              <w:trPr>
                <w:trHeight w:val="300"/>
              </w:trPr>
              <w:tc>
                <w:tcPr>
                  <w:tcW w:w="1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27-Jan-22</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770</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61</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12.62</w:t>
                  </w:r>
                </w:p>
              </w:tc>
            </w:tr>
            <w:tr w:rsidR="0020161B">
              <w:tblPrEx>
                <w:tblCellMar>
                  <w:top w:w="0" w:type="dxa"/>
                  <w:bottom w:w="0" w:type="dxa"/>
                </w:tblCellMar>
              </w:tblPrEx>
              <w:trPr>
                <w:trHeight w:val="300"/>
              </w:trPr>
              <w:tc>
                <w:tcPr>
                  <w:tcW w:w="1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03-Feb-20</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44</w:t>
                  </w:r>
                </w:p>
              </w:tc>
              <w:tc>
                <w:tcPr>
                  <w:tcW w:w="14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22</w:t>
                  </w:r>
                </w:p>
              </w:tc>
            </w:tr>
          </w:tbl>
          <w:p w:rsidR="0020161B" w:rsidRDefault="0020161B">
            <w:pPr>
              <w:spacing w:after="0" w:line="240" w:lineRule="auto"/>
              <w:rPr>
                <w:rFonts w:cs="Calibri"/>
                <w:iCs/>
              </w:rPr>
            </w:pPr>
          </w:p>
          <w:p w:rsidR="0020161B" w:rsidRDefault="00A923F6">
            <w:pPr>
              <w:spacing w:after="0" w:line="240" w:lineRule="auto"/>
              <w:jc w:val="both"/>
              <w:rPr>
                <w:rFonts w:cs="Calibri"/>
                <w:iCs/>
              </w:rPr>
            </w:pPr>
            <w:r>
              <w:rPr>
                <w:rFonts w:cs="Calibri"/>
                <w:iCs/>
              </w:rPr>
              <w:t xml:space="preserve">Of the 27 registered providers in Tameside 21 are </w:t>
            </w:r>
            <w:proofErr w:type="gramStart"/>
            <w:r>
              <w:rPr>
                <w:rFonts w:cs="Calibri"/>
                <w:iCs/>
              </w:rPr>
              <w:t>either rated</w:t>
            </w:r>
            <w:proofErr w:type="gramEnd"/>
            <w:r>
              <w:rPr>
                <w:rFonts w:cs="Calibri"/>
                <w:iCs/>
              </w:rPr>
              <w:t xml:space="preserve"> Good or Outstanding by the CQC, with 6 yet to be inspected.</w:t>
            </w:r>
          </w:p>
          <w:p w:rsidR="0020161B" w:rsidRDefault="0020161B">
            <w:pPr>
              <w:spacing w:after="0" w:line="240" w:lineRule="auto"/>
              <w:jc w:val="both"/>
              <w:rPr>
                <w:rFonts w:cs="Calibri"/>
                <w:iCs/>
                <w:color w:val="000000"/>
              </w:rPr>
            </w:pPr>
          </w:p>
          <w:p w:rsidR="0020161B" w:rsidRDefault="00A923F6">
            <w:pPr>
              <w:spacing w:after="0" w:line="240" w:lineRule="auto"/>
              <w:jc w:val="both"/>
            </w:pPr>
            <w:r>
              <w:rPr>
                <w:rFonts w:cs="Calibri"/>
                <w:iCs/>
                <w:color w:val="000000"/>
              </w:rPr>
              <w:t>Contractually, each of the zoned providers need to have</w:t>
            </w:r>
            <w:r>
              <w:rPr>
                <w:rFonts w:cs="Calibri"/>
                <w:iCs/>
                <w:color w:val="000000"/>
              </w:rPr>
              <w:t xml:space="preserve"> an Electronic Care Management (ECM) system in place and are required to submit information on the actual hours delivered (in line with our commissioning rules).  Zoned providers also have access to the Digital Health service, albeit this works better with</w:t>
            </w:r>
            <w:r>
              <w:rPr>
                <w:rFonts w:cs="Calibri"/>
                <w:iCs/>
                <w:color w:val="000000"/>
              </w:rPr>
              <w:t>in the Extra Care Schemes than the general community setting.</w:t>
            </w:r>
          </w:p>
          <w:p w:rsidR="0020161B" w:rsidRDefault="0020161B">
            <w:pPr>
              <w:spacing w:after="0" w:line="240" w:lineRule="auto"/>
              <w:jc w:val="both"/>
              <w:rPr>
                <w:rFonts w:cs="Calibri"/>
                <w:iCs/>
                <w:color w:val="000000"/>
              </w:rPr>
            </w:pPr>
          </w:p>
          <w:p w:rsidR="0020161B" w:rsidRDefault="00A923F6">
            <w:pPr>
              <w:spacing w:after="0" w:line="240" w:lineRule="auto"/>
              <w:jc w:val="both"/>
            </w:pPr>
            <w:r>
              <w:rPr>
                <w:rFonts w:cs="Calibri"/>
                <w:bCs/>
              </w:rPr>
              <w:t xml:space="preserve">Tameside in 2016 retendered for a new strengths-based home support service and this </w:t>
            </w:r>
            <w:proofErr w:type="gramStart"/>
            <w:r>
              <w:rPr>
                <w:rFonts w:cs="Calibri"/>
                <w:bCs/>
              </w:rPr>
              <w:t>was awarded</w:t>
            </w:r>
            <w:proofErr w:type="gramEnd"/>
            <w:r>
              <w:rPr>
                <w:rFonts w:cs="Calibri"/>
                <w:bCs/>
              </w:rPr>
              <w:t xml:space="preserve"> to six zoned providers.  In recognition that the zoned providers would be working differently </w:t>
            </w:r>
            <w:r>
              <w:rPr>
                <w:rFonts w:cs="Calibri"/>
                <w:bCs/>
              </w:rPr>
              <w:t>than the traditional ‘time &amp; task’ service, it was decided that we would pay the foundation living wage in recognition of this different service; this did not apply to the non-zoned providers, and therefore there are different rates applicable for the home</w:t>
            </w:r>
            <w:r>
              <w:rPr>
                <w:rFonts w:cs="Calibri"/>
                <w:bCs/>
              </w:rPr>
              <w:t xml:space="preserve"> support service:</w:t>
            </w:r>
          </w:p>
          <w:p w:rsidR="0020161B" w:rsidRDefault="0020161B">
            <w:pPr>
              <w:spacing w:after="0" w:line="240" w:lineRule="auto"/>
              <w:rPr>
                <w:rFonts w:cs="Calibri"/>
                <w:bCs/>
              </w:rPr>
            </w:pPr>
          </w:p>
          <w:tbl>
            <w:tblPr>
              <w:tblW w:w="6996" w:type="dxa"/>
              <w:tblInd w:w="93" w:type="dxa"/>
              <w:tblCellMar>
                <w:left w:w="10" w:type="dxa"/>
                <w:right w:w="10" w:type="dxa"/>
              </w:tblCellMar>
              <w:tblLook w:val="0000" w:firstRow="0" w:lastRow="0" w:firstColumn="0" w:lastColumn="0" w:noHBand="0" w:noVBand="0"/>
            </w:tblPr>
            <w:tblGrid>
              <w:gridCol w:w="3876"/>
              <w:gridCol w:w="1560"/>
              <w:gridCol w:w="1560"/>
            </w:tblGrid>
            <w:tr w:rsidR="0020161B">
              <w:tblPrEx>
                <w:tblCellMar>
                  <w:top w:w="0" w:type="dxa"/>
                  <w:bottom w:w="0" w:type="dxa"/>
                </w:tblCellMar>
              </w:tblPrEx>
              <w:trPr>
                <w:trHeight w:val="384"/>
              </w:trPr>
              <w:tc>
                <w:tcPr>
                  <w:tcW w:w="38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rPr>
                      <w:rFonts w:cs="Calibri"/>
                      <w:b/>
                      <w:bCs/>
                      <w:color w:val="000000"/>
                      <w:sz w:val="20"/>
                      <w:szCs w:val="20"/>
                      <w:lang w:eastAsia="en-GB"/>
                    </w:rPr>
                  </w:pPr>
                  <w:r>
                    <w:rPr>
                      <w:rFonts w:cs="Calibri"/>
                      <w:b/>
                      <w:bCs/>
                      <w:color w:val="000000"/>
                      <w:sz w:val="20"/>
                      <w:szCs w:val="20"/>
                      <w:lang w:eastAsia="en-GB"/>
                    </w:rPr>
                    <w:t>Contractual Rates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0161B" w:rsidRDefault="00A923F6">
                  <w:pPr>
                    <w:spacing w:after="0" w:line="240" w:lineRule="auto"/>
                    <w:jc w:val="center"/>
                    <w:rPr>
                      <w:rFonts w:cs="Calibri"/>
                      <w:b/>
                      <w:bCs/>
                      <w:color w:val="000000"/>
                      <w:sz w:val="20"/>
                      <w:szCs w:val="20"/>
                      <w:lang w:eastAsia="en-GB"/>
                    </w:rPr>
                  </w:pPr>
                  <w:r>
                    <w:rPr>
                      <w:rFonts w:cs="Calibri"/>
                      <w:b/>
                      <w:bCs/>
                      <w:color w:val="000000"/>
                      <w:sz w:val="20"/>
                      <w:szCs w:val="20"/>
                      <w:lang w:eastAsia="en-GB"/>
                    </w:rPr>
                    <w:t>2022/23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161B" w:rsidRDefault="00A923F6">
                  <w:pPr>
                    <w:spacing w:after="0" w:line="240" w:lineRule="auto"/>
                    <w:jc w:val="center"/>
                  </w:pPr>
                  <w:r>
                    <w:rPr>
                      <w:rFonts w:cs="Calibri"/>
                      <w:b/>
                      <w:bCs/>
                      <w:color w:val="000000"/>
                      <w:sz w:val="20"/>
                      <w:szCs w:val="20"/>
                      <w:lang w:eastAsia="en-GB"/>
                    </w:rPr>
                    <w:t>Proposed 2023/24</w:t>
                  </w:r>
                  <w:r>
                    <w:rPr>
                      <w:rFonts w:cs="Calibri"/>
                      <w:b/>
                      <w:bCs/>
                      <w:color w:val="000000"/>
                      <w:sz w:val="20"/>
                      <w:szCs w:val="20"/>
                      <w:shd w:val="clear" w:color="auto" w:fill="FFFF00"/>
                      <w:lang w:eastAsia="en-GB"/>
                    </w:rPr>
                    <w:t xml:space="preserve"> </w:t>
                  </w:r>
                  <w:r>
                    <w:rPr>
                      <w:rFonts w:cs="Calibri"/>
                      <w:b/>
                      <w:bCs/>
                      <w:color w:val="000000"/>
                      <w:sz w:val="20"/>
                      <w:szCs w:val="20"/>
                      <w:lang w:eastAsia="en-GB"/>
                    </w:rPr>
                    <w:t>(£)</w:t>
                  </w:r>
                </w:p>
              </w:tc>
            </w:tr>
            <w:tr w:rsidR="0020161B">
              <w:tblPrEx>
                <w:tblCellMar>
                  <w:top w:w="0" w:type="dxa"/>
                  <w:bottom w:w="0" w:type="dxa"/>
                </w:tblCellMar>
              </w:tblPrEx>
              <w:trPr>
                <w:trHeight w:val="384"/>
              </w:trPr>
              <w:tc>
                <w:tcPr>
                  <w:tcW w:w="38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rPr>
                      <w:rFonts w:cs="Calibri"/>
                      <w:color w:val="000000"/>
                      <w:sz w:val="20"/>
                      <w:szCs w:val="20"/>
                      <w:lang w:eastAsia="en-GB"/>
                    </w:rPr>
                  </w:pPr>
                  <w:r>
                    <w:rPr>
                      <w:rFonts w:cs="Calibri"/>
                      <w:color w:val="000000"/>
                      <w:sz w:val="20"/>
                      <w:szCs w:val="20"/>
                      <w:lang w:eastAsia="en-GB"/>
                    </w:rPr>
                    <w:t>Home Care – Non-zoned Provider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17.73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24.19</w:t>
                  </w:r>
                </w:p>
              </w:tc>
            </w:tr>
            <w:tr w:rsidR="0020161B">
              <w:tblPrEx>
                <w:tblCellMar>
                  <w:top w:w="0" w:type="dxa"/>
                  <w:bottom w:w="0" w:type="dxa"/>
                </w:tblCellMar>
              </w:tblPrEx>
              <w:trPr>
                <w:trHeight w:val="384"/>
              </w:trPr>
              <w:tc>
                <w:tcPr>
                  <w:tcW w:w="38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rPr>
                      <w:rFonts w:cs="Calibri"/>
                      <w:color w:val="000000"/>
                      <w:sz w:val="20"/>
                      <w:szCs w:val="20"/>
                      <w:lang w:eastAsia="en-GB"/>
                    </w:rPr>
                  </w:pPr>
                  <w:r>
                    <w:rPr>
                      <w:rFonts w:cs="Calibri"/>
                      <w:color w:val="000000"/>
                      <w:sz w:val="20"/>
                      <w:szCs w:val="20"/>
                      <w:lang w:eastAsia="en-GB"/>
                    </w:rPr>
                    <w:t>Support At Home – Zoned Provider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19.22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24.78</w:t>
                  </w:r>
                </w:p>
              </w:tc>
            </w:tr>
            <w:tr w:rsidR="0020161B">
              <w:tblPrEx>
                <w:tblCellMar>
                  <w:top w:w="0" w:type="dxa"/>
                  <w:bottom w:w="0" w:type="dxa"/>
                </w:tblCellMar>
              </w:tblPrEx>
              <w:trPr>
                <w:trHeight w:val="384"/>
              </w:trPr>
              <w:tc>
                <w:tcPr>
                  <w:tcW w:w="38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rPr>
                      <w:rFonts w:cs="Calibri"/>
                      <w:color w:val="000000"/>
                      <w:sz w:val="20"/>
                      <w:szCs w:val="20"/>
                      <w:lang w:eastAsia="en-GB"/>
                    </w:rPr>
                  </w:pPr>
                  <w:r>
                    <w:rPr>
                      <w:rFonts w:cs="Calibri"/>
                      <w:color w:val="000000"/>
                      <w:sz w:val="20"/>
                      <w:szCs w:val="20"/>
                      <w:lang w:eastAsia="en-GB"/>
                    </w:rPr>
                    <w:t>Sleep-in – All Providers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110.63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110.63</w:t>
                  </w:r>
                </w:p>
              </w:tc>
            </w:tr>
            <w:tr w:rsidR="0020161B">
              <w:tblPrEx>
                <w:tblCellMar>
                  <w:top w:w="0" w:type="dxa"/>
                  <w:bottom w:w="0" w:type="dxa"/>
                </w:tblCellMar>
              </w:tblPrEx>
              <w:trPr>
                <w:trHeight w:val="384"/>
              </w:trPr>
              <w:tc>
                <w:tcPr>
                  <w:tcW w:w="38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rPr>
                      <w:rFonts w:cs="Calibri"/>
                      <w:color w:val="000000"/>
                      <w:sz w:val="20"/>
                      <w:szCs w:val="20"/>
                      <w:lang w:eastAsia="en-GB"/>
                    </w:rPr>
                  </w:pPr>
                  <w:r>
                    <w:rPr>
                      <w:rFonts w:cs="Calibri"/>
                      <w:color w:val="000000"/>
                      <w:sz w:val="20"/>
                      <w:szCs w:val="20"/>
                      <w:lang w:eastAsia="en-GB"/>
                    </w:rPr>
                    <w:t>Waking night - All Providers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147.48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161B" w:rsidRDefault="00A923F6">
                  <w:pPr>
                    <w:spacing w:after="0" w:line="240" w:lineRule="auto"/>
                    <w:jc w:val="center"/>
                    <w:rPr>
                      <w:rFonts w:cs="Calibri"/>
                      <w:color w:val="000000"/>
                      <w:sz w:val="20"/>
                      <w:szCs w:val="20"/>
                      <w:lang w:eastAsia="en-GB"/>
                    </w:rPr>
                  </w:pPr>
                  <w:r>
                    <w:rPr>
                      <w:rFonts w:cs="Calibri"/>
                      <w:color w:val="000000"/>
                      <w:sz w:val="20"/>
                      <w:szCs w:val="20"/>
                      <w:lang w:eastAsia="en-GB"/>
                    </w:rPr>
                    <w:t>147.48</w:t>
                  </w:r>
                </w:p>
              </w:tc>
            </w:tr>
          </w:tbl>
          <w:p w:rsidR="0020161B" w:rsidRDefault="0020161B">
            <w:pPr>
              <w:spacing w:after="0" w:line="240" w:lineRule="auto"/>
              <w:rPr>
                <w:rFonts w:cs="Calibri"/>
                <w:bCs/>
              </w:rPr>
            </w:pPr>
          </w:p>
          <w:p w:rsidR="0020161B" w:rsidRDefault="00A923F6">
            <w:pPr>
              <w:spacing w:after="0" w:line="240" w:lineRule="auto"/>
              <w:jc w:val="both"/>
              <w:rPr>
                <w:rFonts w:cs="Calibri"/>
                <w:bCs/>
                <w:color w:val="000000"/>
              </w:rPr>
            </w:pPr>
            <w:r>
              <w:rPr>
                <w:rFonts w:cs="Calibri"/>
                <w:bCs/>
                <w:color w:val="000000"/>
              </w:rPr>
              <w:t xml:space="preserve">The </w:t>
            </w:r>
            <w:r>
              <w:rPr>
                <w:rFonts w:cs="Calibri"/>
                <w:bCs/>
                <w:color w:val="000000"/>
              </w:rPr>
              <w:t xml:space="preserve">proposed fees for 2023/24 are subject to the Council’s Governance Procedures and as such </w:t>
            </w:r>
            <w:proofErr w:type="gramStart"/>
            <w:r>
              <w:rPr>
                <w:rFonts w:cs="Calibri"/>
                <w:bCs/>
                <w:color w:val="000000"/>
              </w:rPr>
              <w:t>have not been confirmed</w:t>
            </w:r>
            <w:proofErr w:type="gramEnd"/>
            <w:r>
              <w:rPr>
                <w:rFonts w:cs="Calibri"/>
                <w:bCs/>
                <w:color w:val="000000"/>
              </w:rPr>
              <w:t xml:space="preserve"> formally with providers.</w:t>
            </w:r>
          </w:p>
          <w:p w:rsidR="0020161B" w:rsidRDefault="0020161B">
            <w:pPr>
              <w:spacing w:after="0" w:line="240" w:lineRule="auto"/>
              <w:jc w:val="both"/>
              <w:rPr>
                <w:rFonts w:cs="Calibri"/>
                <w:bCs/>
                <w:color w:val="000000"/>
              </w:rPr>
            </w:pPr>
          </w:p>
          <w:p w:rsidR="0020161B" w:rsidRDefault="00A923F6">
            <w:pPr>
              <w:spacing w:after="0" w:line="240" w:lineRule="auto"/>
              <w:jc w:val="both"/>
            </w:pPr>
            <w:r>
              <w:rPr>
                <w:rFonts w:cs="Calibri"/>
                <w:bCs/>
              </w:rPr>
              <w:t>In 2022 the Council retendered the Support at Home service and awarded the contract to 4 zoned providers, with an add</w:t>
            </w:r>
            <w:r>
              <w:rPr>
                <w:rFonts w:cs="Calibri"/>
                <w:bCs/>
              </w:rPr>
              <w:t>itional provider having responsibility for all the older people’s extra care schemes.  This new contract will come into effect in June 2023.  A new Flexible Purchasing System is also coming into force at that time, with the number of provider increasing fr</w:t>
            </w:r>
            <w:r>
              <w:rPr>
                <w:rFonts w:cs="Calibri"/>
                <w:bCs/>
              </w:rPr>
              <w:t xml:space="preserve">om 25 to 27 available to spot purchase </w:t>
            </w:r>
            <w:proofErr w:type="gramStart"/>
            <w:r>
              <w:rPr>
                <w:rFonts w:cs="Calibri"/>
                <w:bCs/>
              </w:rPr>
              <w:t>from</w:t>
            </w:r>
            <w:proofErr w:type="gramEnd"/>
            <w:r>
              <w:rPr>
                <w:rFonts w:cs="Calibri"/>
                <w:bCs/>
              </w:rPr>
              <w:t>.</w:t>
            </w:r>
          </w:p>
          <w:p w:rsidR="0020161B" w:rsidRDefault="0020161B">
            <w:pPr>
              <w:spacing w:after="0" w:line="240" w:lineRule="auto"/>
              <w:jc w:val="both"/>
              <w:rPr>
                <w:rFonts w:cs="Calibri"/>
                <w:bCs/>
              </w:rPr>
            </w:pPr>
          </w:p>
          <w:p w:rsidR="0020161B" w:rsidRDefault="00A923F6">
            <w:pPr>
              <w:spacing w:after="0" w:line="240" w:lineRule="auto"/>
              <w:jc w:val="both"/>
            </w:pPr>
            <w:r>
              <w:rPr>
                <w:rFonts w:cs="Calibri"/>
                <w:bCs/>
              </w:rPr>
              <w:lastRenderedPageBreak/>
              <w:t xml:space="preserve">Generally, home care providers are facing the same issues </w:t>
            </w:r>
            <w:proofErr w:type="gramStart"/>
            <w:r>
              <w:rPr>
                <w:rFonts w:cs="Calibri"/>
                <w:bCs/>
              </w:rPr>
              <w:t>re:</w:t>
            </w:r>
            <w:proofErr w:type="gramEnd"/>
            <w:r>
              <w:rPr>
                <w:rFonts w:cs="Calibri"/>
                <w:bCs/>
              </w:rPr>
              <w:t xml:space="preserve"> recruitment &amp; selection as the care homes.  Skills for Care </w:t>
            </w:r>
            <w:proofErr w:type="gramStart"/>
            <w:r>
              <w:rPr>
                <w:rFonts w:cs="Calibri"/>
                <w:bCs/>
              </w:rPr>
              <w:t>don’t</w:t>
            </w:r>
            <w:proofErr w:type="gramEnd"/>
            <w:r>
              <w:rPr>
                <w:rFonts w:cs="Calibri"/>
                <w:bCs/>
              </w:rPr>
              <w:t xml:space="preserve"> have statistics regionally for home care but the following relate to Home care nat</w:t>
            </w:r>
            <w:r>
              <w:rPr>
                <w:rFonts w:cs="Calibri"/>
                <w:bCs/>
              </w:rPr>
              <w:t>ionally.</w:t>
            </w:r>
          </w:p>
          <w:p w:rsidR="0020161B" w:rsidRDefault="0020161B">
            <w:pPr>
              <w:spacing w:after="0" w:line="240" w:lineRule="auto"/>
              <w:rPr>
                <w:rFonts w:cs="Calibri"/>
                <w:bCs/>
              </w:rPr>
            </w:pPr>
          </w:p>
          <w:p w:rsidR="0020161B" w:rsidRDefault="00A923F6">
            <w:pPr>
              <w:spacing w:after="0" w:line="240" w:lineRule="auto"/>
            </w:pPr>
            <w:r>
              <w:rPr>
                <w:rFonts w:cs="Calibri"/>
                <w:bCs/>
                <w:u w:val="single"/>
              </w:rPr>
              <w:t>Proportion of new starters in the last 12 months:</w:t>
            </w:r>
          </w:p>
          <w:tbl>
            <w:tblPr>
              <w:tblW w:w="6440" w:type="dxa"/>
              <w:tblCellMar>
                <w:left w:w="10" w:type="dxa"/>
                <w:right w:w="10" w:type="dxa"/>
              </w:tblCellMar>
              <w:tblLook w:val="0000" w:firstRow="0" w:lastRow="0" w:firstColumn="0" w:lastColumn="0" w:noHBand="0" w:noVBand="0"/>
            </w:tblPr>
            <w:tblGrid>
              <w:gridCol w:w="2430"/>
              <w:gridCol w:w="4010"/>
            </w:tblGrid>
            <w:tr w:rsidR="0020161B">
              <w:tblPrEx>
                <w:tblCellMar>
                  <w:top w:w="0" w:type="dxa"/>
                  <w:bottom w:w="0" w:type="dxa"/>
                </w:tblCellMar>
              </w:tblPrEx>
              <w:trPr>
                <w:trHeight w:val="300"/>
              </w:trPr>
              <w:tc>
                <w:tcPr>
                  <w:tcW w:w="2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20161B">
                  <w:pPr>
                    <w:spacing w:after="0" w:line="240" w:lineRule="auto"/>
                    <w:rPr>
                      <w:rFonts w:eastAsia="Times New Roman" w:cs="Calibri"/>
                      <w:b/>
                      <w:bCs/>
                      <w:color w:val="000000"/>
                      <w:sz w:val="20"/>
                      <w:szCs w:val="20"/>
                      <w:lang w:eastAsia="en-GB"/>
                    </w:rPr>
                  </w:pP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CQC Domiciliary care services</w:t>
                  </w:r>
                </w:p>
              </w:tc>
            </w:tr>
            <w:tr w:rsidR="0020161B">
              <w:tblPrEx>
                <w:tblCellMar>
                  <w:top w:w="0" w:type="dxa"/>
                  <w:bottom w:w="0" w:type="dxa"/>
                </w:tblCellMar>
              </w:tblPrEx>
              <w:trPr>
                <w:trHeight w:val="300"/>
              </w:trPr>
              <w:tc>
                <w:tcPr>
                  <w:tcW w:w="24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All job roles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34.1%</w:t>
                  </w:r>
                </w:p>
              </w:tc>
            </w:tr>
            <w:tr w:rsidR="0020161B">
              <w:tblPrEx>
                <w:tblCellMar>
                  <w:top w:w="0" w:type="dxa"/>
                  <w:bottom w:w="0" w:type="dxa"/>
                </w:tblCellMar>
              </w:tblPrEx>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Managerial</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sz w:val="20"/>
                      <w:szCs w:val="20"/>
                      <w:lang w:eastAsia="en-GB"/>
                    </w:rPr>
                  </w:pPr>
                  <w:r>
                    <w:rPr>
                      <w:rFonts w:eastAsia="Times New Roman" w:cs="Calibri"/>
                      <w:sz w:val="20"/>
                      <w:szCs w:val="20"/>
                      <w:lang w:eastAsia="en-GB"/>
                    </w:rPr>
                    <w:t>13.8%</w:t>
                  </w:r>
                </w:p>
              </w:tc>
            </w:tr>
            <w:tr w:rsidR="0020161B">
              <w:tblPrEx>
                <w:tblCellMar>
                  <w:top w:w="0" w:type="dxa"/>
                  <w:bottom w:w="0" w:type="dxa"/>
                </w:tblCellMar>
              </w:tblPrEx>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Regulated profession</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sz w:val="20"/>
                      <w:szCs w:val="20"/>
                      <w:lang w:eastAsia="en-GB"/>
                    </w:rPr>
                  </w:pPr>
                  <w:r>
                    <w:rPr>
                      <w:rFonts w:eastAsia="Times New Roman" w:cs="Calibri"/>
                      <w:sz w:val="20"/>
                      <w:szCs w:val="20"/>
                      <w:lang w:eastAsia="en-GB"/>
                    </w:rPr>
                    <w:t>20.6%</w:t>
                  </w:r>
                </w:p>
              </w:tc>
            </w:tr>
            <w:tr w:rsidR="0020161B">
              <w:tblPrEx>
                <w:tblCellMar>
                  <w:top w:w="0" w:type="dxa"/>
                  <w:bottom w:w="0" w:type="dxa"/>
                </w:tblCellMar>
              </w:tblPrEx>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Direct care</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sz w:val="20"/>
                      <w:szCs w:val="20"/>
                      <w:lang w:eastAsia="en-GB"/>
                    </w:rPr>
                  </w:pPr>
                  <w:r>
                    <w:rPr>
                      <w:rFonts w:eastAsia="Times New Roman" w:cs="Calibri"/>
                      <w:sz w:val="20"/>
                      <w:szCs w:val="20"/>
                      <w:lang w:eastAsia="en-GB"/>
                    </w:rPr>
                    <w:t>37.2%</w:t>
                  </w:r>
                </w:p>
              </w:tc>
            </w:tr>
            <w:tr w:rsidR="0020161B">
              <w:tblPrEx>
                <w:tblCellMar>
                  <w:top w:w="0" w:type="dxa"/>
                  <w:bottom w:w="0" w:type="dxa"/>
                </w:tblCellMar>
              </w:tblPrEx>
              <w:trPr>
                <w:trHeight w:val="3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Other</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sz w:val="20"/>
                      <w:szCs w:val="20"/>
                      <w:lang w:eastAsia="en-GB"/>
                    </w:rPr>
                  </w:pPr>
                  <w:r>
                    <w:rPr>
                      <w:rFonts w:eastAsia="Times New Roman" w:cs="Calibri"/>
                      <w:sz w:val="20"/>
                      <w:szCs w:val="20"/>
                      <w:lang w:eastAsia="en-GB"/>
                    </w:rPr>
                    <w:t>21.0%</w:t>
                  </w:r>
                </w:p>
              </w:tc>
            </w:tr>
          </w:tbl>
          <w:p w:rsidR="0020161B" w:rsidRDefault="0020161B">
            <w:pPr>
              <w:spacing w:after="0" w:line="240" w:lineRule="auto"/>
              <w:rPr>
                <w:rFonts w:cs="Calibri"/>
                <w:bCs/>
              </w:rPr>
            </w:pPr>
          </w:p>
          <w:p w:rsidR="0020161B" w:rsidRDefault="00A923F6">
            <w:pPr>
              <w:spacing w:after="0" w:line="240" w:lineRule="auto"/>
            </w:pPr>
            <w:r>
              <w:rPr>
                <w:rFonts w:cs="Calibri"/>
                <w:bCs/>
                <w:u w:val="single"/>
              </w:rPr>
              <w:t>Length of time worker has been in current role</w:t>
            </w:r>
          </w:p>
          <w:tbl>
            <w:tblPr>
              <w:tblW w:w="6404" w:type="dxa"/>
              <w:tblCellMar>
                <w:left w:w="10" w:type="dxa"/>
                <w:right w:w="10" w:type="dxa"/>
              </w:tblCellMar>
              <w:tblLook w:val="0000" w:firstRow="0" w:lastRow="0" w:firstColumn="0" w:lastColumn="0" w:noHBand="0" w:noVBand="0"/>
            </w:tblPr>
            <w:tblGrid>
              <w:gridCol w:w="2435"/>
              <w:gridCol w:w="3969"/>
            </w:tblGrid>
            <w:tr w:rsidR="0020161B">
              <w:tblPrEx>
                <w:tblCellMar>
                  <w:top w:w="0" w:type="dxa"/>
                  <w:bottom w:w="0" w:type="dxa"/>
                </w:tblCellMar>
              </w:tblPrEx>
              <w:trPr>
                <w:trHeight w:val="310"/>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20161B">
                  <w:pPr>
                    <w:spacing w:after="0" w:line="240" w:lineRule="auto"/>
                    <w:jc w:val="center"/>
                    <w:rPr>
                      <w:rFonts w:eastAsia="Times New Roman" w:cs="Calibri"/>
                      <w:sz w:val="20"/>
                      <w:szCs w:val="20"/>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pPr>
                  <w:r>
                    <w:rPr>
                      <w:rFonts w:cs="Calibri"/>
                      <w:b/>
                      <w:sz w:val="20"/>
                      <w:szCs w:val="20"/>
                      <w:shd w:val="clear" w:color="auto" w:fill="FFFFFF"/>
                    </w:rPr>
                    <w:t xml:space="preserve">CQC Domiciliary </w:t>
                  </w:r>
                  <w:r>
                    <w:rPr>
                      <w:rFonts w:cs="Calibri"/>
                      <w:b/>
                      <w:sz w:val="20"/>
                      <w:szCs w:val="20"/>
                      <w:shd w:val="clear" w:color="auto" w:fill="FFFFFF"/>
                    </w:rPr>
                    <w:t>care services</w:t>
                  </w:r>
                </w:p>
              </w:tc>
            </w:tr>
            <w:tr w:rsidR="0020161B">
              <w:tblPrEx>
                <w:tblCellMar>
                  <w:top w:w="0" w:type="dxa"/>
                  <w:bottom w:w="0" w:type="dxa"/>
                </w:tblCellMar>
              </w:tblPrEx>
              <w:trPr>
                <w:trHeight w:val="300"/>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Total filled posts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570,000</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i/>
                      <w:iCs/>
                      <w:sz w:val="20"/>
                      <w:szCs w:val="20"/>
                      <w:lang w:eastAsia="en-GB"/>
                    </w:rPr>
                  </w:pPr>
                  <w:r>
                    <w:rPr>
                      <w:rFonts w:eastAsia="Times New Roman" w:cs="Calibri"/>
                      <w:i/>
                      <w:iCs/>
                      <w:sz w:val="20"/>
                      <w:szCs w:val="20"/>
                      <w:lang w:eastAsia="en-GB"/>
                    </w:rPr>
                    <w:t>Average years in role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i/>
                      <w:iCs/>
                      <w:sz w:val="20"/>
                      <w:szCs w:val="20"/>
                      <w:lang w:eastAsia="en-GB"/>
                    </w:rPr>
                  </w:pPr>
                  <w:r>
                    <w:rPr>
                      <w:rFonts w:eastAsia="Times New Roman" w:cs="Calibri"/>
                      <w:i/>
                      <w:iCs/>
                      <w:sz w:val="20"/>
                      <w:szCs w:val="20"/>
                      <w:lang w:eastAsia="en-GB"/>
                    </w:rPr>
                    <w:t>4.2</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Less than 1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26%</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1 to 2 years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cs="Calibri"/>
                      <w:color w:val="000000"/>
                      <w:sz w:val="20"/>
                      <w:szCs w:val="20"/>
                    </w:rPr>
                  </w:pPr>
                  <w:r>
                    <w:rPr>
                      <w:rFonts w:cs="Calibri"/>
                      <w:color w:val="000000"/>
                      <w:sz w:val="20"/>
                      <w:szCs w:val="20"/>
                    </w:rPr>
                    <w:t>28%</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3 to 4 years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cs="Calibri"/>
                      <w:color w:val="000000"/>
                      <w:sz w:val="20"/>
                      <w:szCs w:val="20"/>
                    </w:rPr>
                  </w:pPr>
                  <w:r>
                    <w:rPr>
                      <w:rFonts w:cs="Calibri"/>
                      <w:color w:val="000000"/>
                      <w:sz w:val="20"/>
                      <w:szCs w:val="20"/>
                    </w:rPr>
                    <w:t>16%</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5 to 6 years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cs="Calibri"/>
                      <w:color w:val="000000"/>
                      <w:sz w:val="20"/>
                      <w:szCs w:val="20"/>
                    </w:rPr>
                  </w:pPr>
                  <w:r>
                    <w:rPr>
                      <w:rFonts w:cs="Calibri"/>
                      <w:color w:val="000000"/>
                      <w:sz w:val="20"/>
                      <w:szCs w:val="20"/>
                    </w:rPr>
                    <w:t>10%</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7 to 9 years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cs="Calibri"/>
                      <w:color w:val="000000"/>
                      <w:sz w:val="20"/>
                      <w:szCs w:val="20"/>
                    </w:rPr>
                  </w:pPr>
                  <w:r>
                    <w:rPr>
                      <w:rFonts w:cs="Calibri"/>
                      <w:color w:val="000000"/>
                      <w:sz w:val="20"/>
                      <w:szCs w:val="20"/>
                    </w:rPr>
                    <w:t>8%</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10 to 19 years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cs="Calibri"/>
                      <w:color w:val="000000"/>
                      <w:sz w:val="20"/>
                      <w:szCs w:val="20"/>
                    </w:rPr>
                  </w:pPr>
                  <w:r>
                    <w:rPr>
                      <w:rFonts w:cs="Calibri"/>
                      <w:color w:val="000000"/>
                      <w:sz w:val="20"/>
                      <w:szCs w:val="20"/>
                    </w:rPr>
                    <w:t>10%</w:t>
                  </w:r>
                </w:p>
              </w:tc>
            </w:tr>
            <w:tr w:rsidR="0020161B">
              <w:tblPrEx>
                <w:tblCellMar>
                  <w:top w:w="0" w:type="dxa"/>
                  <w:bottom w:w="0" w:type="dxa"/>
                </w:tblCellMar>
              </w:tblPrEx>
              <w:trPr>
                <w:trHeight w:val="300"/>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20 years or more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20161B" w:rsidRDefault="00A923F6">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2%</w:t>
                  </w:r>
                </w:p>
              </w:tc>
            </w:tr>
          </w:tbl>
          <w:p w:rsidR="0020161B" w:rsidRDefault="0020161B">
            <w:pPr>
              <w:spacing w:after="0" w:line="240" w:lineRule="auto"/>
              <w:rPr>
                <w:rFonts w:cs="Calibri"/>
                <w:bCs/>
              </w:rPr>
            </w:pPr>
          </w:p>
          <w:p w:rsidR="0020161B" w:rsidRDefault="00A923F6">
            <w:pPr>
              <w:spacing w:after="0" w:line="240" w:lineRule="auto"/>
            </w:pPr>
            <w:r>
              <w:rPr>
                <w:rFonts w:cs="Calibri"/>
                <w:bCs/>
              </w:rPr>
              <w:t xml:space="preserve">Estimated number of vacancies in the adult social </w:t>
            </w:r>
            <w:r>
              <w:rPr>
                <w:rFonts w:cs="Calibri"/>
                <w:bCs/>
              </w:rPr>
              <w:t>care sector</w:t>
            </w:r>
          </w:p>
          <w:tbl>
            <w:tblPr>
              <w:tblW w:w="6404" w:type="dxa"/>
              <w:tblCellMar>
                <w:left w:w="10" w:type="dxa"/>
                <w:right w:w="10" w:type="dxa"/>
              </w:tblCellMar>
              <w:tblLook w:val="0000" w:firstRow="0" w:lastRow="0" w:firstColumn="0" w:lastColumn="0" w:noHBand="0" w:noVBand="0"/>
            </w:tblPr>
            <w:tblGrid>
              <w:gridCol w:w="2435"/>
              <w:gridCol w:w="3969"/>
            </w:tblGrid>
            <w:tr w:rsidR="0020161B">
              <w:tblPrEx>
                <w:tblCellMar>
                  <w:top w:w="0" w:type="dxa"/>
                  <w:bottom w:w="0" w:type="dxa"/>
                </w:tblCellMar>
              </w:tblPrEx>
              <w:trPr>
                <w:trHeight w:val="200"/>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20161B">
                  <w:pPr>
                    <w:spacing w:after="0" w:line="240" w:lineRule="auto"/>
                    <w:rPr>
                      <w:rFonts w:eastAsia="Times New Roman" w:cs="Calibri"/>
                      <w:sz w:val="20"/>
                      <w:szCs w:val="20"/>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b/>
                      <w:sz w:val="20"/>
                      <w:szCs w:val="20"/>
                      <w:lang w:eastAsia="en-GB"/>
                    </w:rPr>
                  </w:pPr>
                  <w:r>
                    <w:rPr>
                      <w:rFonts w:eastAsia="Times New Roman" w:cs="Calibri"/>
                      <w:b/>
                      <w:sz w:val="20"/>
                      <w:szCs w:val="20"/>
                      <w:lang w:eastAsia="en-GB"/>
                    </w:rPr>
                    <w:t>CQC Domiciliary care services</w:t>
                  </w:r>
                </w:p>
              </w:tc>
            </w:tr>
            <w:tr w:rsidR="0020161B">
              <w:tblPrEx>
                <w:tblCellMar>
                  <w:top w:w="0" w:type="dxa"/>
                  <w:bottom w:w="0" w:type="dxa"/>
                </w:tblCellMar>
              </w:tblPrEx>
              <w:trPr>
                <w:trHeight w:val="300"/>
              </w:trPr>
              <w:tc>
                <w:tcPr>
                  <w:tcW w:w="2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20161B" w:rsidRDefault="00A923F6">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All job roles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13.0%</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Managerial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cs="Calibri"/>
                      <w:sz w:val="20"/>
                      <w:szCs w:val="20"/>
                    </w:rPr>
                  </w:pPr>
                  <w:r>
                    <w:rPr>
                      <w:rFonts w:cs="Calibri"/>
                      <w:sz w:val="20"/>
                      <w:szCs w:val="20"/>
                    </w:rPr>
                    <w:t>7.2%</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Regulated profession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cs="Calibri"/>
                      <w:sz w:val="20"/>
                      <w:szCs w:val="20"/>
                    </w:rPr>
                  </w:pPr>
                  <w:r>
                    <w:rPr>
                      <w:rFonts w:cs="Calibri"/>
                      <w:sz w:val="20"/>
                      <w:szCs w:val="20"/>
                    </w:rPr>
                    <w:t>13.8%</w:t>
                  </w:r>
                </w:p>
              </w:tc>
            </w:tr>
            <w:tr w:rsidR="0020161B">
              <w:tblPrEx>
                <w:tblCellMar>
                  <w:top w:w="0" w:type="dxa"/>
                  <w:bottom w:w="0" w:type="dxa"/>
                </w:tblCellMar>
              </w:tblPrEx>
              <w:trPr>
                <w:trHeight w:val="285"/>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Direct care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cs="Calibri"/>
                      <w:sz w:val="20"/>
                      <w:szCs w:val="20"/>
                    </w:rPr>
                  </w:pPr>
                  <w:r>
                    <w:rPr>
                      <w:rFonts w:cs="Calibri"/>
                      <w:sz w:val="20"/>
                      <w:szCs w:val="20"/>
                    </w:rPr>
                    <w:t>14.0%</w:t>
                  </w:r>
                </w:p>
              </w:tc>
            </w:tr>
            <w:tr w:rsidR="0020161B">
              <w:tblPrEx>
                <w:tblCellMar>
                  <w:top w:w="0" w:type="dxa"/>
                  <w:bottom w:w="0" w:type="dxa"/>
                </w:tblCellMar>
              </w:tblPrEx>
              <w:trPr>
                <w:trHeight w:val="300"/>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tcPr>
                <w:p w:rsidR="0020161B" w:rsidRDefault="00A923F6">
                  <w:pPr>
                    <w:spacing w:after="0" w:line="240" w:lineRule="auto"/>
                    <w:rPr>
                      <w:rFonts w:eastAsia="Times New Roman" w:cs="Calibri"/>
                      <w:sz w:val="20"/>
                      <w:szCs w:val="20"/>
                      <w:lang w:eastAsia="en-GB"/>
                    </w:rPr>
                  </w:pPr>
                  <w:r>
                    <w:rPr>
                      <w:rFonts w:eastAsia="Times New Roman" w:cs="Calibri"/>
                      <w:sz w:val="20"/>
                      <w:szCs w:val="20"/>
                      <w:lang w:eastAsia="en-GB"/>
                    </w:rPr>
                    <w:t>Other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20161B" w:rsidRDefault="00A923F6">
                  <w:pPr>
                    <w:spacing w:after="0" w:line="240" w:lineRule="auto"/>
                    <w:jc w:val="center"/>
                    <w:rPr>
                      <w:rFonts w:cs="Calibri"/>
                      <w:sz w:val="20"/>
                      <w:szCs w:val="20"/>
                    </w:rPr>
                  </w:pPr>
                  <w:r>
                    <w:rPr>
                      <w:rFonts w:cs="Calibri"/>
                      <w:sz w:val="20"/>
                      <w:szCs w:val="20"/>
                    </w:rPr>
                    <w:t>6.4%</w:t>
                  </w:r>
                </w:p>
              </w:tc>
            </w:tr>
          </w:tbl>
          <w:p w:rsidR="0020161B" w:rsidRDefault="0020161B">
            <w:pPr>
              <w:spacing w:after="0" w:line="240" w:lineRule="auto"/>
              <w:rPr>
                <w:rFonts w:cs="Calibri"/>
                <w:bCs/>
              </w:rPr>
            </w:pPr>
          </w:p>
          <w:p w:rsidR="0020161B" w:rsidRDefault="00A923F6">
            <w:pPr>
              <w:spacing w:after="0" w:line="240" w:lineRule="auto"/>
              <w:jc w:val="both"/>
            </w:pPr>
            <w:r>
              <w:rPr>
                <w:rFonts w:cs="Calibri"/>
                <w:bCs/>
              </w:rPr>
              <w:t xml:space="preserve">As with care homes, home care providers need to compete with other local employers when recruiting staff, where </w:t>
            </w:r>
            <w:r>
              <w:rPr>
                <w:rFonts w:cs="Calibri"/>
                <w:bCs/>
              </w:rPr>
              <w:t xml:space="preserve">the pressures &amp; responsibilities </w:t>
            </w:r>
            <w:proofErr w:type="gramStart"/>
            <w:r>
              <w:rPr>
                <w:rFonts w:cs="Calibri"/>
                <w:bCs/>
              </w:rPr>
              <w:t>don’t</w:t>
            </w:r>
            <w:proofErr w:type="gramEnd"/>
            <w:r>
              <w:rPr>
                <w:rFonts w:cs="Calibri"/>
                <w:bCs/>
              </w:rPr>
              <w:t xml:space="preserve"> compare with that of a care worker.</w:t>
            </w:r>
          </w:p>
          <w:p w:rsidR="0020161B" w:rsidRDefault="0020161B">
            <w:pPr>
              <w:spacing w:after="0" w:line="240" w:lineRule="auto"/>
              <w:jc w:val="both"/>
              <w:rPr>
                <w:rFonts w:ascii="Arial" w:hAnsi="Arial"/>
                <w:b/>
                <w:sz w:val="24"/>
                <w:szCs w:val="24"/>
              </w:rPr>
            </w:pP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both"/>
            </w:pPr>
            <w:r>
              <w:rPr>
                <w:rFonts w:ascii="Arial" w:hAnsi="Arial"/>
                <w:b/>
                <w:bCs/>
                <w:sz w:val="24"/>
                <w:szCs w:val="24"/>
              </w:rPr>
              <w:lastRenderedPageBreak/>
              <w:t xml:space="preserve">Section 2: Assessment of the impact of future market </w:t>
            </w:r>
            <w:r>
              <w:rPr>
                <w:rFonts w:ascii="Arial" w:hAnsi="Arial"/>
                <w:b/>
                <w:bCs/>
                <w:color w:val="000000"/>
                <w:sz w:val="24"/>
                <w:szCs w:val="24"/>
              </w:rPr>
              <w:t xml:space="preserve">changes between now and October 2025, for each of the service markets </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numPr>
                <w:ilvl w:val="0"/>
                <w:numId w:val="3"/>
              </w:numPr>
              <w:spacing w:after="0" w:line="240" w:lineRule="auto"/>
              <w:ind w:left="311"/>
              <w:jc w:val="both"/>
            </w:pPr>
            <w:r>
              <w:rPr>
                <w:rFonts w:cs="Calibri"/>
                <w:iCs/>
              </w:rPr>
              <w:t xml:space="preserve">A number of care homes charge a top-up and, if the </w:t>
            </w:r>
            <w:proofErr w:type="spellStart"/>
            <w:r>
              <w:rPr>
                <w:rFonts w:cs="Calibri"/>
                <w:iCs/>
              </w:rPr>
              <w:t>FCoC</w:t>
            </w:r>
            <w:proofErr w:type="spellEnd"/>
            <w:r>
              <w:rPr>
                <w:rFonts w:cs="Calibri"/>
                <w:iCs/>
              </w:rPr>
              <w:t xml:space="preserve"> does not reflect their current costs, there is a high probability that the Council will not be able to purchase beds at these homes.  Initial views are that at least </w:t>
            </w:r>
            <w:proofErr w:type="gramStart"/>
            <w:r>
              <w:rPr>
                <w:rFonts w:cs="Calibri"/>
                <w:iCs/>
              </w:rPr>
              <w:t>7</w:t>
            </w:r>
            <w:proofErr w:type="gramEnd"/>
            <w:r>
              <w:rPr>
                <w:rFonts w:cs="Calibri"/>
                <w:iCs/>
              </w:rPr>
              <w:t xml:space="preserve"> care homes (290 beds) may not be accessible. At this stage there is uncertainty on </w:t>
            </w:r>
            <w:r>
              <w:rPr>
                <w:rFonts w:cs="Calibri"/>
                <w:iCs/>
              </w:rPr>
              <w:t>the impact of the ‘cap on care’ and the subsequent impact on care home availability</w:t>
            </w:r>
          </w:p>
          <w:p w:rsidR="0020161B" w:rsidRDefault="00A923F6">
            <w:pPr>
              <w:numPr>
                <w:ilvl w:val="0"/>
                <w:numId w:val="3"/>
              </w:numPr>
              <w:spacing w:after="0" w:line="240" w:lineRule="auto"/>
              <w:ind w:left="311"/>
              <w:jc w:val="both"/>
            </w:pPr>
            <w:r>
              <w:rPr>
                <w:rFonts w:cs="Calibri"/>
                <w:iCs/>
              </w:rPr>
              <w:t>Increasing population and changes to capital thresholds putting more pressure on the social care system bring more people into funded care</w:t>
            </w:r>
          </w:p>
          <w:p w:rsidR="0020161B" w:rsidRDefault="00A923F6">
            <w:pPr>
              <w:numPr>
                <w:ilvl w:val="0"/>
                <w:numId w:val="3"/>
              </w:numPr>
              <w:spacing w:after="0" w:line="240" w:lineRule="auto"/>
              <w:ind w:left="311"/>
              <w:jc w:val="both"/>
            </w:pPr>
            <w:r>
              <w:rPr>
                <w:rFonts w:cs="Calibri"/>
                <w:iCs/>
              </w:rPr>
              <w:t>Increased complexity of people ac</w:t>
            </w:r>
            <w:r>
              <w:rPr>
                <w:rFonts w:cs="Calibri"/>
                <w:iCs/>
              </w:rPr>
              <w:t>cessing social care – more staff required to meet need (in both care home &amp; home support settings)</w:t>
            </w:r>
          </w:p>
          <w:p w:rsidR="0020161B" w:rsidRDefault="00A923F6">
            <w:pPr>
              <w:numPr>
                <w:ilvl w:val="0"/>
                <w:numId w:val="3"/>
              </w:numPr>
              <w:spacing w:after="0" w:line="240" w:lineRule="auto"/>
              <w:ind w:left="311"/>
              <w:jc w:val="both"/>
            </w:pPr>
            <w:r>
              <w:rPr>
                <w:rFonts w:cs="Calibri"/>
                <w:iCs/>
              </w:rPr>
              <w:lastRenderedPageBreak/>
              <w:t>Greater emphasis to upskill social care staff to support given the age profile, turnover of staff and the rising of more complex care; potential that the rat</w:t>
            </w:r>
            <w:r>
              <w:rPr>
                <w:rFonts w:cs="Calibri"/>
                <w:iCs/>
              </w:rPr>
              <w:t>es paid to staff will need to reflect the additional responsibilities/skills required, along with a robust workforce development plan</w:t>
            </w:r>
          </w:p>
          <w:p w:rsidR="0020161B" w:rsidRDefault="00A923F6">
            <w:pPr>
              <w:numPr>
                <w:ilvl w:val="0"/>
                <w:numId w:val="3"/>
              </w:numPr>
              <w:spacing w:after="0" w:line="240" w:lineRule="auto"/>
              <w:ind w:left="311"/>
              <w:jc w:val="both"/>
            </w:pPr>
            <w:r>
              <w:rPr>
                <w:rFonts w:cs="Calibri"/>
                <w:iCs/>
              </w:rPr>
              <w:t>High turnover of staff and loss of knowledge/experience from the sector</w:t>
            </w:r>
          </w:p>
          <w:p w:rsidR="0020161B" w:rsidRDefault="00A923F6">
            <w:pPr>
              <w:numPr>
                <w:ilvl w:val="0"/>
                <w:numId w:val="3"/>
              </w:numPr>
              <w:spacing w:after="0" w:line="240" w:lineRule="auto"/>
              <w:ind w:left="311"/>
              <w:jc w:val="both"/>
            </w:pPr>
            <w:r>
              <w:rPr>
                <w:rFonts w:cs="Calibri"/>
                <w:iCs/>
              </w:rPr>
              <w:t>Major difficulties in recruiting and retaining nur</w:t>
            </w:r>
            <w:r>
              <w:rPr>
                <w:rFonts w:cs="Calibri"/>
                <w:iCs/>
              </w:rPr>
              <w:t>ses and care staff into the sector – more care homes closing despite the increased need for more complex care delivery</w:t>
            </w:r>
          </w:p>
          <w:p w:rsidR="0020161B" w:rsidRDefault="00A923F6">
            <w:pPr>
              <w:numPr>
                <w:ilvl w:val="0"/>
                <w:numId w:val="3"/>
              </w:numPr>
              <w:spacing w:after="0" w:line="240" w:lineRule="auto"/>
              <w:ind w:left="311"/>
              <w:jc w:val="both"/>
            </w:pPr>
            <w:r>
              <w:rPr>
                <w:rFonts w:cs="Calibri"/>
                <w:iCs/>
              </w:rPr>
              <w:t>Increasing costs for the providers, e.g. mortgage costs, insurance &amp; utility bills are difficulty to quantify and is causing provider unc</w:t>
            </w:r>
            <w:r>
              <w:rPr>
                <w:rFonts w:cs="Calibri"/>
                <w:iCs/>
              </w:rPr>
              <w:t>ertainty, resulting in less investment.</w:t>
            </w:r>
          </w:p>
          <w:p w:rsidR="0020161B" w:rsidRDefault="00A923F6">
            <w:pPr>
              <w:numPr>
                <w:ilvl w:val="0"/>
                <w:numId w:val="3"/>
              </w:numPr>
              <w:spacing w:after="0" w:line="240" w:lineRule="auto"/>
              <w:ind w:left="311"/>
              <w:jc w:val="both"/>
            </w:pPr>
            <w:r>
              <w:rPr>
                <w:rFonts w:cs="Calibri"/>
                <w:iCs/>
              </w:rPr>
              <w:t>Above costs are also affecting care workers (mortgage, utility costs, etc.) and having an impact whether they can either continue to work in the sector or decide to take up employment in the sector.</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both"/>
            </w:pPr>
            <w:r>
              <w:rPr>
                <w:rFonts w:ascii="Arial" w:hAnsi="Arial"/>
                <w:b/>
                <w:bCs/>
                <w:sz w:val="24"/>
                <w:szCs w:val="24"/>
              </w:rPr>
              <w:lastRenderedPageBreak/>
              <w:t>Section 3: Plans</w:t>
            </w:r>
            <w:r>
              <w:rPr>
                <w:rFonts w:ascii="Arial" w:hAnsi="Arial"/>
                <w:b/>
                <w:bCs/>
                <w:sz w:val="24"/>
                <w:szCs w:val="24"/>
              </w:rPr>
              <w:t xml:space="preserve"> for each market to address sustainability </w:t>
            </w:r>
            <w:r>
              <w:rPr>
                <w:rFonts w:ascii="Arial" w:hAnsi="Arial"/>
                <w:b/>
                <w:bCs/>
                <w:color w:val="000000"/>
                <w:sz w:val="24"/>
                <w:szCs w:val="24"/>
              </w:rPr>
              <w:t>issues, including fee rate issues, where identified.</w:t>
            </w:r>
          </w:p>
          <w:p w:rsidR="0020161B" w:rsidRDefault="0020161B">
            <w:pPr>
              <w:spacing w:after="0" w:line="240" w:lineRule="auto"/>
              <w:jc w:val="both"/>
              <w:rPr>
                <w:rFonts w:ascii="Arial" w:hAnsi="Arial"/>
                <w:b/>
                <w:bCs/>
                <w:sz w:val="24"/>
                <w:szCs w:val="24"/>
              </w:rPr>
            </w:pPr>
          </w:p>
          <w:p w:rsidR="0020161B" w:rsidRDefault="00A923F6">
            <w:pPr>
              <w:spacing w:after="0" w:line="240" w:lineRule="auto"/>
              <w:jc w:val="both"/>
            </w:pPr>
            <w:r>
              <w:rPr>
                <w:rFonts w:ascii="Arial" w:hAnsi="Arial"/>
                <w:b/>
                <w:sz w:val="24"/>
                <w:szCs w:val="24"/>
              </w:rPr>
              <w:t>Note:</w:t>
            </w:r>
            <w:r>
              <w:rPr>
                <w:rFonts w:ascii="Arial" w:hAnsi="Arial"/>
                <w:sz w:val="24"/>
                <w:szCs w:val="24"/>
              </w:rPr>
              <w:t xml:space="preserve"> As part of these plans local authorities should also demonstrate how they complement other strategic documents, such as, but not limited to their Market </w:t>
            </w:r>
            <w:r>
              <w:rPr>
                <w:rFonts w:ascii="Arial" w:hAnsi="Arial"/>
                <w:sz w:val="24"/>
                <w:szCs w:val="24"/>
              </w:rPr>
              <w:t>Position Statements and demonstrate how they have worked with local providers to develop the plans in this section.</w:t>
            </w:r>
          </w:p>
          <w:p w:rsidR="0020161B" w:rsidRDefault="0020161B">
            <w:pPr>
              <w:spacing w:after="0" w:line="240" w:lineRule="auto"/>
              <w:jc w:val="both"/>
              <w:rPr>
                <w:rFonts w:ascii="Arial" w:hAnsi="Arial"/>
                <w:b/>
                <w:sz w:val="24"/>
                <w:szCs w:val="24"/>
              </w:rPr>
            </w:pP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numPr>
                <w:ilvl w:val="0"/>
                <w:numId w:val="4"/>
              </w:numPr>
              <w:spacing w:after="0" w:line="240" w:lineRule="auto"/>
              <w:jc w:val="both"/>
              <w:rPr>
                <w:rFonts w:ascii="Arial" w:hAnsi="Arial"/>
                <w:b/>
                <w:bCs/>
                <w:sz w:val="24"/>
                <w:szCs w:val="24"/>
              </w:rPr>
            </w:pPr>
            <w:r>
              <w:rPr>
                <w:rFonts w:ascii="Arial" w:hAnsi="Arial"/>
                <w:b/>
                <w:bCs/>
                <w:sz w:val="24"/>
                <w:szCs w:val="24"/>
              </w:rPr>
              <w:t xml:space="preserve">65+ care homes market </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27"/>
              <w:jc w:val="both"/>
            </w:pPr>
            <w:r>
              <w:rPr>
                <w:rFonts w:cs="Calibri"/>
                <w:u w:val="single"/>
              </w:rPr>
              <w:t>Fees</w:t>
            </w:r>
          </w:p>
          <w:p w:rsidR="0020161B" w:rsidRDefault="00A923F6">
            <w:pPr>
              <w:pStyle w:val="ListParagraph"/>
              <w:numPr>
                <w:ilvl w:val="0"/>
                <w:numId w:val="3"/>
              </w:numPr>
              <w:spacing w:after="0" w:line="240" w:lineRule="auto"/>
              <w:ind w:left="311"/>
              <w:jc w:val="both"/>
            </w:pPr>
            <w:proofErr w:type="gramStart"/>
            <w:r>
              <w:rPr>
                <w:rFonts w:cs="Calibri"/>
              </w:rPr>
              <w:t>23/24</w:t>
            </w:r>
            <w:proofErr w:type="gramEnd"/>
            <w:r>
              <w:rPr>
                <w:rFonts w:cs="Calibri"/>
              </w:rPr>
              <w:t xml:space="preserve"> – We currently working on the basis that the Council will implement the outcome of the Councils </w:t>
            </w:r>
            <w:proofErr w:type="spellStart"/>
            <w:r>
              <w:rPr>
                <w:rFonts w:cs="Calibri"/>
              </w:rPr>
              <w:t>FCoC</w:t>
            </w:r>
            <w:proofErr w:type="spellEnd"/>
            <w:r>
              <w:rPr>
                <w:rFonts w:cs="Calibri"/>
              </w:rPr>
              <w:t xml:space="preserve"> </w:t>
            </w:r>
            <w:r>
              <w:rPr>
                <w:rFonts w:cs="Calibri"/>
              </w:rPr>
              <w:t>exercise</w:t>
            </w:r>
            <w:r>
              <w:rPr>
                <w:rFonts w:cs="Calibri"/>
                <w:color w:val="FF0000"/>
              </w:rPr>
              <w:t xml:space="preserve"> </w:t>
            </w:r>
            <w:r>
              <w:rPr>
                <w:rFonts w:cs="Calibri"/>
                <w:color w:val="000000"/>
              </w:rPr>
              <w:t xml:space="preserve">to help market stability. The </w:t>
            </w:r>
            <w:r>
              <w:rPr>
                <w:rFonts w:cs="Calibri"/>
              </w:rPr>
              <w:t>new proposed fees are:</w:t>
            </w:r>
          </w:p>
          <w:tbl>
            <w:tblPr>
              <w:tblW w:w="9697" w:type="dxa"/>
              <w:tblInd w:w="311" w:type="dxa"/>
              <w:tblCellMar>
                <w:left w:w="10" w:type="dxa"/>
                <w:right w:w="10" w:type="dxa"/>
              </w:tblCellMar>
              <w:tblLook w:val="0000" w:firstRow="0" w:lastRow="0" w:firstColumn="0" w:lastColumn="0" w:noHBand="0" w:noVBand="0"/>
            </w:tblPr>
            <w:tblGrid>
              <w:gridCol w:w="6083"/>
              <w:gridCol w:w="3614"/>
            </w:tblGrid>
            <w:tr w:rsidR="0020161B">
              <w:tblPrEx>
                <w:tblCellMar>
                  <w:top w:w="0" w:type="dxa"/>
                  <w:bottom w:w="0" w:type="dxa"/>
                </w:tblCellMar>
              </w:tblPrEx>
              <w:tc>
                <w:tcPr>
                  <w:tcW w:w="6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rPr>
                      <w:rFonts w:cs="Calibri"/>
                      <w:b/>
                    </w:rPr>
                  </w:pPr>
                  <w:r>
                    <w:rPr>
                      <w:rFonts w:cs="Calibri"/>
                      <w:b/>
                    </w:rPr>
                    <w:t>Proposed fees 2023/24</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center"/>
                    <w:rPr>
                      <w:rFonts w:cs="Calibri"/>
                      <w:b/>
                    </w:rPr>
                  </w:pPr>
                  <w:r>
                    <w:rPr>
                      <w:rFonts w:cs="Calibri"/>
                      <w:b/>
                    </w:rPr>
                    <w:t>£</w:t>
                  </w:r>
                </w:p>
              </w:tc>
            </w:tr>
            <w:tr w:rsidR="0020161B">
              <w:tblPrEx>
                <w:tblCellMar>
                  <w:top w:w="0" w:type="dxa"/>
                  <w:bottom w:w="0" w:type="dxa"/>
                </w:tblCellMar>
              </w:tblPrEx>
              <w:tc>
                <w:tcPr>
                  <w:tcW w:w="6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both"/>
                    <w:rPr>
                      <w:rFonts w:cs="Calibri"/>
                    </w:rPr>
                  </w:pPr>
                  <w:r>
                    <w:rPr>
                      <w:rFonts w:cs="Calibri"/>
                    </w:rPr>
                    <w:t>Residential Placement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center"/>
                    <w:rPr>
                      <w:rFonts w:cs="Calibri"/>
                    </w:rPr>
                  </w:pPr>
                  <w:r>
                    <w:rPr>
                      <w:rFonts w:cs="Calibri"/>
                    </w:rPr>
                    <w:t>726.00</w:t>
                  </w:r>
                </w:p>
              </w:tc>
            </w:tr>
            <w:tr w:rsidR="0020161B">
              <w:tblPrEx>
                <w:tblCellMar>
                  <w:top w:w="0" w:type="dxa"/>
                  <w:bottom w:w="0" w:type="dxa"/>
                </w:tblCellMar>
              </w:tblPrEx>
              <w:tc>
                <w:tcPr>
                  <w:tcW w:w="6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both"/>
                    <w:rPr>
                      <w:rFonts w:cs="Calibri"/>
                    </w:rPr>
                  </w:pPr>
                  <w:r>
                    <w:rPr>
                      <w:rFonts w:cs="Calibri"/>
                    </w:rPr>
                    <w:t>Residential Placement with Dementia</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center"/>
                    <w:rPr>
                      <w:rFonts w:cs="Calibri"/>
                    </w:rPr>
                  </w:pPr>
                  <w:r>
                    <w:rPr>
                      <w:rFonts w:cs="Calibri"/>
                    </w:rPr>
                    <w:t>741.00</w:t>
                  </w:r>
                </w:p>
              </w:tc>
            </w:tr>
            <w:tr w:rsidR="0020161B">
              <w:tblPrEx>
                <w:tblCellMar>
                  <w:top w:w="0" w:type="dxa"/>
                  <w:bottom w:w="0" w:type="dxa"/>
                </w:tblCellMar>
              </w:tblPrEx>
              <w:tc>
                <w:tcPr>
                  <w:tcW w:w="6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both"/>
                    <w:rPr>
                      <w:rFonts w:cs="Calibri"/>
                    </w:rPr>
                  </w:pPr>
                  <w:r>
                    <w:rPr>
                      <w:rFonts w:cs="Calibri"/>
                    </w:rPr>
                    <w:t>Nursing Placement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center"/>
                    <w:rPr>
                      <w:rFonts w:cs="Calibri"/>
                    </w:rPr>
                  </w:pPr>
                  <w:r>
                    <w:rPr>
                      <w:rFonts w:cs="Calibri"/>
                    </w:rPr>
                    <w:t>894.00</w:t>
                  </w:r>
                </w:p>
              </w:tc>
            </w:tr>
            <w:tr w:rsidR="0020161B">
              <w:tblPrEx>
                <w:tblCellMar>
                  <w:top w:w="0" w:type="dxa"/>
                  <w:bottom w:w="0" w:type="dxa"/>
                </w:tblCellMar>
              </w:tblPrEx>
              <w:tc>
                <w:tcPr>
                  <w:tcW w:w="6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both"/>
                    <w:rPr>
                      <w:rFonts w:cs="Calibri"/>
                    </w:rPr>
                  </w:pPr>
                  <w:r>
                    <w:rPr>
                      <w:rFonts w:cs="Calibri"/>
                    </w:rPr>
                    <w:t>Nursing Placement with Dementia</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pStyle w:val="ListParagraph"/>
                    <w:spacing w:after="0" w:line="240" w:lineRule="auto"/>
                    <w:ind w:left="0"/>
                    <w:jc w:val="center"/>
                    <w:rPr>
                      <w:rFonts w:cs="Calibri"/>
                    </w:rPr>
                  </w:pPr>
                  <w:r>
                    <w:rPr>
                      <w:rFonts w:cs="Calibri"/>
                    </w:rPr>
                    <w:t>1,113.00</w:t>
                  </w:r>
                </w:p>
              </w:tc>
            </w:tr>
          </w:tbl>
          <w:p w:rsidR="0020161B" w:rsidRDefault="0020161B">
            <w:pPr>
              <w:pStyle w:val="ListParagraph"/>
              <w:spacing w:after="0" w:line="240" w:lineRule="auto"/>
              <w:ind w:left="311"/>
              <w:jc w:val="both"/>
            </w:pPr>
          </w:p>
          <w:p w:rsidR="0020161B" w:rsidRDefault="00A923F6">
            <w:pPr>
              <w:spacing w:after="0" w:line="240" w:lineRule="auto"/>
              <w:jc w:val="both"/>
              <w:rPr>
                <w:rFonts w:cs="Calibri"/>
                <w:bCs/>
                <w:color w:val="000000"/>
              </w:rPr>
            </w:pPr>
            <w:r>
              <w:rPr>
                <w:rFonts w:cs="Calibri"/>
                <w:bCs/>
                <w:color w:val="000000"/>
              </w:rPr>
              <w:t xml:space="preserve">The proposed fees for </w:t>
            </w:r>
            <w:r>
              <w:rPr>
                <w:rFonts w:cs="Calibri"/>
                <w:bCs/>
                <w:color w:val="000000"/>
              </w:rPr>
              <w:t xml:space="preserve">2023/24 are subject to the Council’s Governance Procedures and as such </w:t>
            </w:r>
            <w:proofErr w:type="gramStart"/>
            <w:r>
              <w:rPr>
                <w:rFonts w:cs="Calibri"/>
                <w:bCs/>
                <w:color w:val="000000"/>
              </w:rPr>
              <w:t>have not been confirmed</w:t>
            </w:r>
            <w:proofErr w:type="gramEnd"/>
            <w:r>
              <w:rPr>
                <w:rFonts w:cs="Calibri"/>
                <w:bCs/>
                <w:color w:val="000000"/>
              </w:rPr>
              <w:t xml:space="preserve"> formally with providers.</w:t>
            </w:r>
          </w:p>
          <w:p w:rsidR="0020161B" w:rsidRDefault="0020161B">
            <w:pPr>
              <w:pStyle w:val="ListParagraph"/>
              <w:spacing w:after="0" w:line="240" w:lineRule="auto"/>
              <w:ind w:left="311"/>
              <w:jc w:val="both"/>
            </w:pPr>
          </w:p>
          <w:p w:rsidR="0020161B" w:rsidRDefault="00A923F6">
            <w:pPr>
              <w:pStyle w:val="ListParagraph"/>
              <w:numPr>
                <w:ilvl w:val="0"/>
                <w:numId w:val="3"/>
              </w:numPr>
              <w:spacing w:after="0" w:line="240" w:lineRule="auto"/>
              <w:ind w:left="311"/>
              <w:jc w:val="both"/>
            </w:pPr>
            <w:proofErr w:type="gramStart"/>
            <w:r>
              <w:rPr>
                <w:rFonts w:cs="Calibri"/>
              </w:rPr>
              <w:t>23/24</w:t>
            </w:r>
            <w:proofErr w:type="gramEnd"/>
            <w:r>
              <w:rPr>
                <w:rFonts w:cs="Calibri"/>
              </w:rPr>
              <w:t xml:space="preserve"> – Political backing for paying the Foundation Living Wage across social service providers.</w:t>
            </w:r>
          </w:p>
          <w:p w:rsidR="0020161B" w:rsidRDefault="00A923F6">
            <w:pPr>
              <w:pStyle w:val="ListParagraph"/>
              <w:numPr>
                <w:ilvl w:val="0"/>
                <w:numId w:val="3"/>
              </w:numPr>
              <w:spacing w:after="0" w:line="240" w:lineRule="auto"/>
              <w:ind w:left="311"/>
              <w:jc w:val="both"/>
            </w:pPr>
            <w:r>
              <w:rPr>
                <w:rFonts w:cs="Calibri"/>
              </w:rPr>
              <w:t>24/25 – intend to, alongside the Counc</w:t>
            </w:r>
            <w:r>
              <w:rPr>
                <w:rFonts w:cs="Calibri"/>
              </w:rPr>
              <w:t>il’s social work practice model, review the fee system to better align to individually assessed need rather than provision type, e.g. banded rates and option for individualised pricing for complex needs</w:t>
            </w:r>
          </w:p>
          <w:p w:rsidR="0020161B" w:rsidRDefault="00A923F6">
            <w:pPr>
              <w:pStyle w:val="ListParagraph"/>
              <w:spacing w:after="0" w:line="240" w:lineRule="auto"/>
              <w:ind w:left="27"/>
              <w:jc w:val="both"/>
            </w:pPr>
            <w:r>
              <w:rPr>
                <w:rFonts w:cs="Calibri"/>
                <w:u w:val="single"/>
              </w:rPr>
              <w:t>Further actions linked to MPS and workforce developme</w:t>
            </w:r>
            <w:r>
              <w:rPr>
                <w:rFonts w:cs="Calibri"/>
                <w:u w:val="single"/>
              </w:rPr>
              <w:t>nt</w:t>
            </w:r>
          </w:p>
          <w:p w:rsidR="0020161B" w:rsidRDefault="00A923F6">
            <w:pPr>
              <w:pStyle w:val="ListParagraph"/>
              <w:numPr>
                <w:ilvl w:val="0"/>
                <w:numId w:val="3"/>
              </w:numPr>
              <w:spacing w:after="0" w:line="240" w:lineRule="auto"/>
              <w:ind w:left="311"/>
              <w:jc w:val="both"/>
            </w:pPr>
            <w:r>
              <w:rPr>
                <w:rFonts w:cs="Calibri"/>
              </w:rPr>
              <w:t xml:space="preserve">Major </w:t>
            </w:r>
            <w:r>
              <w:rPr>
                <w:rFonts w:cs="Calibri"/>
                <w:iCs/>
              </w:rPr>
              <w:t>refurbishment</w:t>
            </w:r>
            <w:r>
              <w:rPr>
                <w:rFonts w:cs="Calibri"/>
              </w:rPr>
              <w:t xml:space="preserve"> of one care home to </w:t>
            </w:r>
            <w:proofErr w:type="gramStart"/>
            <w:r>
              <w:rPr>
                <w:rFonts w:cs="Calibri"/>
              </w:rPr>
              <w:t>delivery complex dementia care</w:t>
            </w:r>
            <w:proofErr w:type="gramEnd"/>
            <w:r>
              <w:rPr>
                <w:rFonts w:cs="Calibri"/>
              </w:rPr>
              <w:t xml:space="preserve"> to 16 older people (£500k spent on refurbishment).  A Greater Manchester initiative but due to </w:t>
            </w:r>
            <w:proofErr w:type="gramStart"/>
            <w:r>
              <w:rPr>
                <w:rFonts w:cs="Calibri"/>
              </w:rPr>
              <w:t>be delivered</w:t>
            </w:r>
            <w:proofErr w:type="gramEnd"/>
            <w:r>
              <w:rPr>
                <w:rFonts w:cs="Calibri"/>
              </w:rPr>
              <w:t xml:space="preserve"> in care home in Tameside (with Tameside purchasing the majority of the bed</w:t>
            </w:r>
            <w:r>
              <w:rPr>
                <w:rFonts w:cs="Calibri"/>
              </w:rPr>
              <w:t xml:space="preserve">s).  Update March 2023 – this new scheme has stalled as the provider is unable to recruit the appropriate number of nursing staff and clinical lead to deliver the required model.  It </w:t>
            </w:r>
            <w:proofErr w:type="gramStart"/>
            <w:r>
              <w:rPr>
                <w:rFonts w:cs="Calibri"/>
              </w:rPr>
              <w:t>is expected</w:t>
            </w:r>
            <w:proofErr w:type="gramEnd"/>
            <w:r>
              <w:rPr>
                <w:rFonts w:cs="Calibri"/>
              </w:rPr>
              <w:t xml:space="preserve"> that we will continue to work with the provider to deliver th</w:t>
            </w:r>
            <w:r>
              <w:rPr>
                <w:rFonts w:cs="Calibri"/>
              </w:rPr>
              <w:t xml:space="preserve">e model in the future. </w:t>
            </w:r>
          </w:p>
          <w:p w:rsidR="0020161B" w:rsidRDefault="00A923F6">
            <w:pPr>
              <w:pStyle w:val="ListParagraph"/>
              <w:numPr>
                <w:ilvl w:val="0"/>
                <w:numId w:val="3"/>
              </w:numPr>
              <w:spacing w:after="0" w:line="240" w:lineRule="auto"/>
              <w:ind w:left="311"/>
              <w:jc w:val="both"/>
            </w:pPr>
            <w:r>
              <w:rPr>
                <w:rFonts w:cs="Calibri"/>
              </w:rPr>
              <w:t>The Council is working closely with local education establishments to help shape the workforce of the future.  Recruitment videos have been produced across all care sectors/roles (involving staff and providers) to help promote the b</w:t>
            </w:r>
            <w:r>
              <w:rPr>
                <w:rFonts w:cs="Calibri"/>
              </w:rPr>
              <w:t>enefits of care work.</w:t>
            </w:r>
          </w:p>
          <w:p w:rsidR="0020161B" w:rsidRDefault="00A923F6">
            <w:pPr>
              <w:pStyle w:val="ListParagraph"/>
              <w:numPr>
                <w:ilvl w:val="0"/>
                <w:numId w:val="3"/>
              </w:numPr>
              <w:spacing w:after="0" w:line="240" w:lineRule="auto"/>
              <w:ind w:left="311"/>
              <w:jc w:val="both"/>
            </w:pPr>
            <w:r>
              <w:rPr>
                <w:rFonts w:cs="Calibri"/>
                <w:iCs/>
              </w:rPr>
              <w:t xml:space="preserve">Link to the above point - the investment in staff, re: training &amp; levels of </w:t>
            </w:r>
            <w:proofErr w:type="gramStart"/>
            <w:r>
              <w:rPr>
                <w:rFonts w:cs="Calibri"/>
                <w:iCs/>
              </w:rPr>
              <w:t>responsibility,</w:t>
            </w:r>
            <w:proofErr w:type="gramEnd"/>
            <w:r>
              <w:rPr>
                <w:rFonts w:cs="Calibri"/>
                <w:iCs/>
              </w:rPr>
              <w:t xml:space="preserve"> will enable care workers to give serious consideration about career progression within either the social care or health professions.</w:t>
            </w:r>
            <w:r>
              <w:rPr>
                <w:rFonts w:cs="Calibri"/>
              </w:rPr>
              <w:t xml:space="preserve"> </w:t>
            </w:r>
            <w:r>
              <w:rPr>
                <w:rFonts w:cs="Calibri"/>
                <w:iCs/>
              </w:rPr>
              <w:t>This supp</w:t>
            </w:r>
            <w:r>
              <w:rPr>
                <w:rFonts w:cs="Calibri"/>
                <w:iCs/>
              </w:rPr>
              <w:t>orts the continued implementation the ‘blended role’ within the service (care workers able to give insulin injections and basic would care in lieu of district nurse input), although district nurse remain clinically responsible.</w:t>
            </w:r>
          </w:p>
          <w:p w:rsidR="0020161B" w:rsidRDefault="00A923F6">
            <w:pPr>
              <w:pStyle w:val="ListParagraph"/>
              <w:numPr>
                <w:ilvl w:val="0"/>
                <w:numId w:val="3"/>
              </w:numPr>
              <w:spacing w:after="0" w:line="240" w:lineRule="auto"/>
              <w:ind w:left="311"/>
              <w:jc w:val="both"/>
            </w:pPr>
            <w:r>
              <w:rPr>
                <w:rFonts w:cs="Calibri"/>
                <w:iCs/>
              </w:rPr>
              <w:lastRenderedPageBreak/>
              <w:t>Part of response to increase</w:t>
            </w:r>
            <w:r>
              <w:rPr>
                <w:rFonts w:cs="Calibri"/>
                <w:iCs/>
              </w:rPr>
              <w:t xml:space="preserve">d demand on 24-hr residential care is to build additional extra care capacity (90 self-contained flats planned with the next three years), with plans for another </w:t>
            </w:r>
            <w:proofErr w:type="gramStart"/>
            <w:r>
              <w:rPr>
                <w:rFonts w:cs="Calibri"/>
                <w:iCs/>
              </w:rPr>
              <w:t>3</w:t>
            </w:r>
            <w:proofErr w:type="gramEnd"/>
            <w:r>
              <w:rPr>
                <w:rFonts w:cs="Calibri"/>
                <w:iCs/>
              </w:rPr>
              <w:t xml:space="preserve"> schemes across the borough. In </w:t>
            </w:r>
            <w:proofErr w:type="gramStart"/>
            <w:r>
              <w:rPr>
                <w:rFonts w:cs="Calibri"/>
                <w:iCs/>
              </w:rPr>
              <w:t>total</w:t>
            </w:r>
            <w:proofErr w:type="gramEnd"/>
            <w:r>
              <w:rPr>
                <w:rFonts w:cs="Calibri"/>
                <w:iCs/>
              </w:rPr>
              <w:t xml:space="preserve"> there will be investment for an additional 320+ units, </w:t>
            </w:r>
            <w:r>
              <w:rPr>
                <w:rFonts w:cs="Calibri"/>
                <w:iCs/>
              </w:rPr>
              <w:t>although it is unlikely these will be available within the next three years as they are at pre-planning stage.</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numPr>
                <w:ilvl w:val="0"/>
                <w:numId w:val="4"/>
              </w:numPr>
              <w:spacing w:after="0" w:line="240" w:lineRule="auto"/>
              <w:jc w:val="both"/>
              <w:rPr>
                <w:rFonts w:ascii="Arial" w:hAnsi="Arial"/>
                <w:b/>
                <w:bCs/>
                <w:sz w:val="24"/>
                <w:szCs w:val="24"/>
              </w:rPr>
            </w:pPr>
            <w:r>
              <w:rPr>
                <w:rFonts w:ascii="Arial" w:hAnsi="Arial"/>
                <w:b/>
                <w:bCs/>
                <w:sz w:val="24"/>
                <w:szCs w:val="24"/>
              </w:rPr>
              <w:lastRenderedPageBreak/>
              <w:t>18+ domiciliary care market</w:t>
            </w:r>
          </w:p>
        </w:tc>
      </w:tr>
      <w:tr w:rsidR="0020161B">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61B" w:rsidRDefault="00A923F6">
            <w:pPr>
              <w:spacing w:after="0" w:line="240" w:lineRule="auto"/>
              <w:jc w:val="both"/>
              <w:rPr>
                <w:rFonts w:cs="Calibri"/>
                <w:i/>
                <w:iCs/>
              </w:rPr>
            </w:pPr>
            <w:r>
              <w:rPr>
                <w:rFonts w:cs="Calibri"/>
                <w:i/>
                <w:iCs/>
              </w:rPr>
              <w:t xml:space="preserve">The Council’s current strategy is to support </w:t>
            </w:r>
            <w:proofErr w:type="gramStart"/>
            <w:r>
              <w:rPr>
                <w:rFonts w:cs="Calibri"/>
                <w:i/>
                <w:iCs/>
              </w:rPr>
              <w:t xml:space="preserve">people to live at home, ideally within their own homes for as long as </w:t>
            </w:r>
            <w:r>
              <w:rPr>
                <w:rFonts w:cs="Calibri"/>
                <w:i/>
                <w:iCs/>
              </w:rPr>
              <w:t>possible, but wherever they are living at the time</w:t>
            </w:r>
            <w:proofErr w:type="gramEnd"/>
            <w:r>
              <w:rPr>
                <w:rFonts w:cs="Calibri"/>
                <w:i/>
                <w:iCs/>
              </w:rPr>
              <w:t>.</w:t>
            </w:r>
          </w:p>
          <w:p w:rsidR="0020161B" w:rsidRDefault="00A923F6">
            <w:pPr>
              <w:spacing w:after="0" w:line="240" w:lineRule="auto"/>
              <w:jc w:val="both"/>
            </w:pPr>
            <w:r>
              <w:rPr>
                <w:rFonts w:cs="Calibri"/>
                <w:i/>
                <w:iCs/>
                <w:u w:val="single"/>
              </w:rPr>
              <w:t>Fees</w:t>
            </w:r>
          </w:p>
          <w:p w:rsidR="0020161B" w:rsidRDefault="00A923F6">
            <w:pPr>
              <w:numPr>
                <w:ilvl w:val="0"/>
                <w:numId w:val="3"/>
              </w:numPr>
              <w:spacing w:after="0" w:line="240" w:lineRule="auto"/>
              <w:jc w:val="both"/>
              <w:rPr>
                <w:rFonts w:cs="Calibri"/>
                <w:i/>
                <w:iCs/>
              </w:rPr>
            </w:pPr>
            <w:proofErr w:type="gramStart"/>
            <w:r>
              <w:rPr>
                <w:rFonts w:cs="Calibri"/>
                <w:i/>
                <w:iCs/>
              </w:rPr>
              <w:t>23/24</w:t>
            </w:r>
            <w:proofErr w:type="gramEnd"/>
            <w:r>
              <w:rPr>
                <w:rFonts w:cs="Calibri"/>
                <w:i/>
                <w:iCs/>
              </w:rPr>
              <w:t xml:space="preserve"> – Political backing for paying the Foundation Living Wage across social service providers. </w:t>
            </w:r>
          </w:p>
          <w:p w:rsidR="0020161B" w:rsidRDefault="00A923F6">
            <w:pPr>
              <w:numPr>
                <w:ilvl w:val="0"/>
                <w:numId w:val="3"/>
              </w:numPr>
              <w:spacing w:after="0" w:line="240" w:lineRule="auto"/>
              <w:jc w:val="both"/>
              <w:rPr>
                <w:rFonts w:cs="Calibri"/>
                <w:i/>
                <w:iCs/>
              </w:rPr>
            </w:pPr>
            <w:r>
              <w:rPr>
                <w:rFonts w:cs="Calibri"/>
                <w:i/>
                <w:iCs/>
              </w:rPr>
              <w:t>Maintain the pay differential between the enhanced strengths-based ‘Support at Home’ model (as agains</w:t>
            </w:r>
            <w:r>
              <w:rPr>
                <w:rFonts w:cs="Calibri"/>
                <w:i/>
                <w:iCs/>
              </w:rPr>
              <w:t>t the standard service delivery model), which will allow them to compete with other sectors to recruit the appropriate number of staff (with the right values).</w:t>
            </w:r>
          </w:p>
          <w:p w:rsidR="0020161B" w:rsidRDefault="00A923F6">
            <w:pPr>
              <w:numPr>
                <w:ilvl w:val="0"/>
                <w:numId w:val="3"/>
              </w:numPr>
              <w:spacing w:after="0" w:line="240" w:lineRule="auto"/>
              <w:jc w:val="both"/>
              <w:rPr>
                <w:rFonts w:cs="Calibri"/>
                <w:i/>
                <w:iCs/>
              </w:rPr>
            </w:pPr>
            <w:r>
              <w:rPr>
                <w:rFonts w:cs="Calibri"/>
                <w:i/>
                <w:iCs/>
              </w:rPr>
              <w:t>This supports the continued implementation the ‘blended role’ within the service (care workers a</w:t>
            </w:r>
            <w:r>
              <w:rPr>
                <w:rFonts w:cs="Calibri"/>
                <w:i/>
                <w:iCs/>
              </w:rPr>
              <w:t>ble to give insulin injections and basic would care in lieu of district nurse input), although district nurse remain clinically responsible.</w:t>
            </w:r>
          </w:p>
          <w:p w:rsidR="0020161B" w:rsidRDefault="00A923F6">
            <w:pPr>
              <w:spacing w:after="0" w:line="240" w:lineRule="auto"/>
              <w:jc w:val="both"/>
              <w:rPr>
                <w:rFonts w:cs="Calibri"/>
                <w:i/>
                <w:iCs/>
                <w:u w:val="single"/>
              </w:rPr>
            </w:pPr>
            <w:r>
              <w:rPr>
                <w:rFonts w:cs="Calibri"/>
                <w:i/>
                <w:iCs/>
                <w:u w:val="single"/>
              </w:rPr>
              <w:t>Further actions linked to MPS and workforce development</w:t>
            </w:r>
          </w:p>
          <w:p w:rsidR="0020161B" w:rsidRDefault="00A923F6">
            <w:pPr>
              <w:numPr>
                <w:ilvl w:val="0"/>
                <w:numId w:val="3"/>
              </w:numPr>
              <w:spacing w:after="0" w:line="240" w:lineRule="auto"/>
              <w:jc w:val="both"/>
              <w:rPr>
                <w:rFonts w:cs="Calibri"/>
                <w:i/>
                <w:iCs/>
              </w:rPr>
            </w:pPr>
            <w:r>
              <w:rPr>
                <w:rFonts w:cs="Calibri"/>
                <w:i/>
                <w:iCs/>
              </w:rPr>
              <w:t xml:space="preserve">Implementation of the Three Conversations approach to </w:t>
            </w:r>
            <w:r>
              <w:rPr>
                <w:rFonts w:cs="Calibri"/>
                <w:i/>
                <w:iCs/>
              </w:rPr>
              <w:t>assessment and support planning will commence in 2023/24</w:t>
            </w:r>
          </w:p>
          <w:p w:rsidR="0020161B" w:rsidRDefault="00A923F6">
            <w:pPr>
              <w:numPr>
                <w:ilvl w:val="0"/>
                <w:numId w:val="3"/>
              </w:numPr>
              <w:spacing w:after="0" w:line="240" w:lineRule="auto"/>
              <w:jc w:val="both"/>
              <w:rPr>
                <w:rFonts w:cs="Calibri"/>
                <w:i/>
                <w:iCs/>
              </w:rPr>
            </w:pPr>
            <w:r>
              <w:rPr>
                <w:rFonts w:cs="Calibri"/>
                <w:i/>
                <w:iCs/>
              </w:rPr>
              <w:t>Plans to return the commissioning of ‘Support at Home’ back to pre-pandemic levels (90+% delivered by zoned providers/strengths-based approach)</w:t>
            </w:r>
          </w:p>
          <w:p w:rsidR="0020161B" w:rsidRDefault="00A923F6">
            <w:pPr>
              <w:numPr>
                <w:ilvl w:val="0"/>
                <w:numId w:val="3"/>
              </w:numPr>
              <w:spacing w:after="0" w:line="240" w:lineRule="auto"/>
              <w:jc w:val="both"/>
              <w:rPr>
                <w:rFonts w:cs="Calibri"/>
                <w:i/>
                <w:iCs/>
              </w:rPr>
            </w:pPr>
            <w:r>
              <w:rPr>
                <w:rFonts w:cs="Calibri"/>
                <w:i/>
                <w:iCs/>
              </w:rPr>
              <w:t>Continue to develop the ‘blended role’ (see above comme</w:t>
            </w:r>
            <w:r>
              <w:rPr>
                <w:rFonts w:cs="Calibri"/>
                <w:i/>
                <w:iCs/>
              </w:rPr>
              <w:t>nts)</w:t>
            </w:r>
          </w:p>
          <w:p w:rsidR="0020161B" w:rsidRDefault="00A923F6">
            <w:pPr>
              <w:numPr>
                <w:ilvl w:val="0"/>
                <w:numId w:val="3"/>
              </w:numPr>
              <w:spacing w:after="0" w:line="240" w:lineRule="auto"/>
              <w:jc w:val="both"/>
              <w:rPr>
                <w:rFonts w:cs="Calibri"/>
                <w:i/>
                <w:iCs/>
              </w:rPr>
            </w:pPr>
            <w:r>
              <w:rPr>
                <w:rFonts w:cs="Calibri"/>
                <w:i/>
                <w:iCs/>
              </w:rPr>
              <w:t>Recruitment videos (see above comment) to promote the benefits of care work</w:t>
            </w:r>
          </w:p>
          <w:p w:rsidR="0020161B" w:rsidRDefault="00A923F6">
            <w:pPr>
              <w:numPr>
                <w:ilvl w:val="0"/>
                <w:numId w:val="3"/>
              </w:numPr>
              <w:spacing w:after="0" w:line="240" w:lineRule="auto"/>
              <w:jc w:val="both"/>
              <w:rPr>
                <w:rFonts w:cs="Calibri"/>
                <w:i/>
                <w:iCs/>
              </w:rPr>
            </w:pPr>
            <w:r>
              <w:rPr>
                <w:rFonts w:cs="Calibri"/>
                <w:i/>
                <w:iCs/>
              </w:rPr>
              <w:t>An Apprenticeship scheme has been developed with a local college re: the strengths-based approach to home support in Tameside</w:t>
            </w:r>
          </w:p>
          <w:p w:rsidR="0020161B" w:rsidRDefault="0020161B">
            <w:pPr>
              <w:spacing w:after="0" w:line="240" w:lineRule="auto"/>
              <w:jc w:val="both"/>
              <w:rPr>
                <w:rFonts w:ascii="Arial" w:hAnsi="Arial"/>
                <w:sz w:val="24"/>
                <w:szCs w:val="24"/>
              </w:rPr>
            </w:pPr>
          </w:p>
        </w:tc>
      </w:tr>
    </w:tbl>
    <w:p w:rsidR="0020161B" w:rsidRDefault="0020161B">
      <w:pPr>
        <w:pageBreakBefore/>
        <w:rPr>
          <w:rFonts w:ascii="Arial" w:hAnsi="Arial"/>
          <w:b/>
          <w:bCs/>
          <w:sz w:val="32"/>
          <w:szCs w:val="32"/>
        </w:rPr>
      </w:pPr>
    </w:p>
    <w:sectPr w:rsidR="0020161B">
      <w:headerReference w:type="default" r:id="rId11"/>
      <w:pgSz w:w="11906" w:h="16838"/>
      <w:pgMar w:top="1276" w:right="1440" w:bottom="1440" w:left="1440" w:header="56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F6" w:rsidRDefault="00A923F6">
      <w:pPr>
        <w:spacing w:after="0" w:line="240" w:lineRule="auto"/>
      </w:pPr>
      <w:r>
        <w:separator/>
      </w:r>
    </w:p>
  </w:endnote>
  <w:endnote w:type="continuationSeparator" w:id="0">
    <w:p w:rsidR="00A923F6" w:rsidRDefault="00A9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F6" w:rsidRDefault="00A923F6">
      <w:pPr>
        <w:spacing w:after="0" w:line="240" w:lineRule="auto"/>
      </w:pPr>
      <w:r>
        <w:rPr>
          <w:color w:val="000000"/>
        </w:rPr>
        <w:separator/>
      </w:r>
    </w:p>
  </w:footnote>
  <w:footnote w:type="continuationSeparator" w:id="0">
    <w:p w:rsidR="00A923F6" w:rsidRDefault="00A9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A2" w:rsidRDefault="00A923F6">
    <w:pPr>
      <w:pStyle w:val="Header"/>
      <w:rPr>
        <w:rFonts w:ascii="Arial" w:hAnsi="Arial"/>
        <w:b/>
        <w:bCs/>
        <w:sz w:val="24"/>
        <w:szCs w:val="24"/>
      </w:rPr>
    </w:pPr>
    <w:r>
      <w:rPr>
        <w:rFonts w:ascii="Arial" w:hAnsi="Arial"/>
        <w:b/>
        <w:bCs/>
        <w:sz w:val="24"/>
        <w:szCs w:val="24"/>
      </w:rPr>
      <w:t>Combined MSP document issued by DHSC on 31.01.2023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E39"/>
    <w:multiLevelType w:val="multilevel"/>
    <w:tmpl w:val="865E653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D743BE"/>
    <w:multiLevelType w:val="multilevel"/>
    <w:tmpl w:val="182230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32FFB"/>
    <w:multiLevelType w:val="multilevel"/>
    <w:tmpl w:val="E09EB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67F72"/>
    <w:multiLevelType w:val="multilevel"/>
    <w:tmpl w:val="14185C06"/>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0161B"/>
    <w:rsid w:val="0020161B"/>
    <w:rsid w:val="00307051"/>
    <w:rsid w:val="00A9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60B0A-3019-4BFB-A92B-F42872D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ListBullet">
    <w:name w:val="List Bullet"/>
    <w:basedOn w:val="Normal"/>
    <w:pPr>
      <w:numPr>
        <w:numId w:val="1"/>
      </w:numPr>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rPr>
      <w:color w:val="605E5C"/>
      <w:shd w:val="clear" w:color="auto" w:fill="E1DFDD"/>
    </w:rPr>
  </w:style>
  <w:style w:type="character" w:customStyle="1" w:styleId="Mention">
    <w:name w:val="Mention"/>
    <w:basedOn w:val="DefaultParagraphFont"/>
    <w:rPr>
      <w:color w:val="2B579A"/>
      <w:shd w:val="clear" w:color="auto" w:fill="E1DFDD"/>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rPr>
      <w:i/>
      <w:iCs/>
      <w:color w:val="4472C4"/>
    </w:r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LFO3">
    <w:name w:val="LFO3"/>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Oung, Camille</dc:creator>
  <dc:description/>
  <cp:lastModifiedBy>Andy Fitzpatrick</cp:lastModifiedBy>
  <cp:revision>2</cp:revision>
  <dcterms:created xsi:type="dcterms:W3CDTF">2023-03-27T14:44:00Z</dcterms:created>
  <dcterms:modified xsi:type="dcterms:W3CDTF">2023-03-27T14:44:00Z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0x01010072069C7FE9ECC64F9757C4D3906D9A99</vt:lpwstr>
  </property>
  <property fmtid="{D5CDD505-2E9C-101B-9397-08002B2CF9AE}" pid="3" name="MediaServiceImageTags">
    <vt:lpwstr/>
  </property>
  <property fmtid="{D5CDD505-2E9C-101B-9397-08002B2CF9AE}" pid="4" name="TaxCatchAll">
    <vt:lpwstr/>
  </property>
</Properties>
</file>